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402"/>
        <w:gridCol w:w="5783"/>
      </w:tblGrid>
      <w:tr w:rsidR="000B5E94" w:rsidRPr="00CF3D12" w14:paraId="049E0F15" w14:textId="77777777" w:rsidTr="00CF3D12">
        <w:trPr>
          <w:jc w:val="center"/>
        </w:trPr>
        <w:tc>
          <w:tcPr>
            <w:tcW w:w="1852" w:type="pct"/>
            <w:vAlign w:val="center"/>
          </w:tcPr>
          <w:p w14:paraId="353B3C1A"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 xml:space="preserve">CÔNG TY CỔ PHẦN </w:t>
            </w:r>
          </w:p>
          <w:p w14:paraId="3C7D7A20" w14:textId="77777777" w:rsidR="000B5E94" w:rsidRPr="00CF3D12" w:rsidRDefault="00BA619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TẬP ĐOÀN</w:t>
            </w:r>
            <w:r w:rsidR="000B5E94" w:rsidRPr="00CF3D12">
              <w:rPr>
                <w:rFonts w:ascii="Times New Roman" w:hAnsi="Times New Roman"/>
                <w:b/>
                <w:sz w:val="26"/>
                <w:szCs w:val="26"/>
              </w:rPr>
              <w:t xml:space="preserve"> </w:t>
            </w:r>
            <w:r w:rsidR="00334680" w:rsidRPr="00CF3D12">
              <w:rPr>
                <w:rFonts w:ascii="Times New Roman" w:hAnsi="Times New Roman"/>
                <w:b/>
                <w:sz w:val="26"/>
                <w:szCs w:val="26"/>
              </w:rPr>
              <w:t>HI</w:t>
            </w:r>
            <w:r w:rsidR="001707DA" w:rsidRPr="00CF3D12">
              <w:rPr>
                <w:rFonts w:ascii="Times New Roman" w:hAnsi="Times New Roman"/>
                <w:b/>
                <w:sz w:val="26"/>
                <w:szCs w:val="26"/>
              </w:rPr>
              <w:t>PT</w:t>
            </w:r>
          </w:p>
          <w:p w14:paraId="37B6153B" w14:textId="2A927884"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w:t>
            </w:r>
            <w:r>
              <w:rPr>
                <w:rFonts w:ascii="Times New Roman" w:hAnsi="Times New Roman"/>
                <w:b/>
                <w:sz w:val="26"/>
                <w:szCs w:val="26"/>
              </w:rPr>
              <w:t>_</w:t>
            </w:r>
          </w:p>
        </w:tc>
        <w:tc>
          <w:tcPr>
            <w:tcW w:w="3148" w:type="pct"/>
            <w:vAlign w:val="center"/>
          </w:tcPr>
          <w:p w14:paraId="5F593D97"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CỘNG HOÀ XÃ HỘI CHỦ NGHĨA VIỆT NAM</w:t>
            </w:r>
          </w:p>
          <w:p w14:paraId="7D9CBCCB"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hint="eastAsia"/>
                <w:b/>
                <w:sz w:val="26"/>
                <w:szCs w:val="26"/>
              </w:rPr>
              <w:t>Đ</w:t>
            </w:r>
            <w:r w:rsidRPr="00CF3D12">
              <w:rPr>
                <w:rFonts w:ascii="Times New Roman" w:hAnsi="Times New Roman"/>
                <w:b/>
                <w:sz w:val="26"/>
                <w:szCs w:val="26"/>
              </w:rPr>
              <w:t>ộc lập - Tự do - Hạnh phúc</w:t>
            </w:r>
          </w:p>
          <w:p w14:paraId="0103AA04" w14:textId="7CEB8621"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_____________</w:t>
            </w:r>
          </w:p>
        </w:tc>
      </w:tr>
      <w:tr w:rsidR="00CF3D12" w:rsidRPr="00CF3D12" w14:paraId="3CE177E7" w14:textId="77777777" w:rsidTr="00CF3D12">
        <w:trPr>
          <w:jc w:val="center"/>
        </w:trPr>
        <w:tc>
          <w:tcPr>
            <w:tcW w:w="1852" w:type="pct"/>
            <w:vAlign w:val="center"/>
          </w:tcPr>
          <w:p w14:paraId="755E6CAF" w14:textId="317FAC68" w:rsidR="00CF3D12" w:rsidRPr="00CF3D12" w:rsidRDefault="00CF3D12" w:rsidP="00CF3D12">
            <w:pPr>
              <w:pStyle w:val="BodyText"/>
              <w:spacing w:line="276" w:lineRule="auto"/>
              <w:jc w:val="center"/>
              <w:rPr>
                <w:rFonts w:ascii="Times New Roman" w:hAnsi="Times New Roman"/>
                <w:bCs/>
                <w:sz w:val="26"/>
                <w:szCs w:val="26"/>
              </w:rPr>
            </w:pPr>
            <w:r w:rsidRPr="00CF3D12">
              <w:rPr>
                <w:rFonts w:ascii="Times New Roman" w:hAnsi="Times New Roman"/>
                <w:bCs/>
                <w:sz w:val="26"/>
                <w:szCs w:val="26"/>
              </w:rPr>
              <w:t>Số: 0</w:t>
            </w:r>
            <w:r w:rsidR="00C4482C">
              <w:rPr>
                <w:rFonts w:ascii="Times New Roman" w:hAnsi="Times New Roman"/>
                <w:bCs/>
                <w:sz w:val="26"/>
                <w:szCs w:val="26"/>
              </w:rPr>
              <w:t>2</w:t>
            </w:r>
            <w:r w:rsidRPr="00CF3D12">
              <w:rPr>
                <w:rFonts w:ascii="Times New Roman" w:hAnsi="Times New Roman"/>
                <w:bCs/>
                <w:sz w:val="26"/>
                <w:szCs w:val="26"/>
              </w:rPr>
              <w:t>-2</w:t>
            </w:r>
            <w:r w:rsidR="00C4482C">
              <w:rPr>
                <w:rFonts w:ascii="Times New Roman" w:hAnsi="Times New Roman"/>
                <w:bCs/>
                <w:sz w:val="26"/>
                <w:szCs w:val="26"/>
              </w:rPr>
              <w:t>1</w:t>
            </w:r>
            <w:r w:rsidRPr="00CF3D12">
              <w:rPr>
                <w:rFonts w:ascii="Times New Roman" w:hAnsi="Times New Roman"/>
                <w:bCs/>
                <w:sz w:val="26"/>
                <w:szCs w:val="26"/>
              </w:rPr>
              <w:t>/NQ/ĐHĐCĐ/HIPT</w:t>
            </w:r>
          </w:p>
        </w:tc>
        <w:tc>
          <w:tcPr>
            <w:tcW w:w="3148" w:type="pct"/>
            <w:vAlign w:val="center"/>
          </w:tcPr>
          <w:p w14:paraId="427C7D58" w14:textId="3763131E" w:rsidR="00CF3D12" w:rsidRPr="00CF3D12" w:rsidRDefault="00CF3D12" w:rsidP="00CF3D12">
            <w:pPr>
              <w:spacing w:line="276" w:lineRule="auto"/>
              <w:jc w:val="center"/>
              <w:rPr>
                <w:bCs/>
                <w:i/>
                <w:sz w:val="26"/>
                <w:szCs w:val="26"/>
              </w:rPr>
            </w:pPr>
            <w:r w:rsidRPr="00CF3D12">
              <w:rPr>
                <w:bCs/>
                <w:i/>
                <w:sz w:val="26"/>
                <w:szCs w:val="26"/>
              </w:rPr>
              <w:t xml:space="preserve">Hà Nội, ngày </w:t>
            </w:r>
            <w:r w:rsidR="00C4482C">
              <w:rPr>
                <w:bCs/>
                <w:i/>
                <w:sz w:val="26"/>
                <w:szCs w:val="26"/>
              </w:rPr>
              <w:t>25</w:t>
            </w:r>
            <w:r w:rsidRPr="00CF3D12">
              <w:rPr>
                <w:bCs/>
                <w:i/>
                <w:sz w:val="26"/>
                <w:szCs w:val="26"/>
              </w:rPr>
              <w:t xml:space="preserve"> tháng 09 năm 202</w:t>
            </w:r>
            <w:r w:rsidR="00C4482C">
              <w:rPr>
                <w:bCs/>
                <w:i/>
                <w:sz w:val="26"/>
                <w:szCs w:val="26"/>
              </w:rPr>
              <w:t>1</w:t>
            </w:r>
          </w:p>
        </w:tc>
      </w:tr>
    </w:tbl>
    <w:p w14:paraId="4D12DB05" w14:textId="77777777" w:rsidR="000B5E94" w:rsidRPr="001D2F61" w:rsidRDefault="000B5E94">
      <w:pPr>
        <w:rPr>
          <w:sz w:val="2"/>
          <w:szCs w:val="24"/>
        </w:rPr>
      </w:pPr>
    </w:p>
    <w:p w14:paraId="676924D5" w14:textId="15880F9C" w:rsidR="000B5E94" w:rsidRDefault="000B5E94" w:rsidP="003A4F9F">
      <w:pPr>
        <w:spacing w:line="360" w:lineRule="auto"/>
        <w:jc w:val="right"/>
        <w:rPr>
          <w:i/>
          <w:sz w:val="24"/>
          <w:szCs w:val="24"/>
        </w:rPr>
      </w:pPr>
    </w:p>
    <w:p w14:paraId="47B6ED4C" w14:textId="47FD73DE" w:rsidR="00924423" w:rsidRDefault="00924423" w:rsidP="00E8162E">
      <w:pPr>
        <w:spacing w:line="312" w:lineRule="auto"/>
        <w:jc w:val="center"/>
        <w:rPr>
          <w:b/>
          <w:szCs w:val="24"/>
        </w:rPr>
      </w:pPr>
    </w:p>
    <w:p w14:paraId="4FBA685B" w14:textId="77777777" w:rsidR="00780399" w:rsidRDefault="00653B60" w:rsidP="00E8162E">
      <w:pPr>
        <w:spacing w:line="312" w:lineRule="auto"/>
        <w:jc w:val="center"/>
        <w:rPr>
          <w:b/>
          <w:szCs w:val="24"/>
        </w:rPr>
      </w:pPr>
      <w:r>
        <w:rPr>
          <w:b/>
          <w:szCs w:val="24"/>
        </w:rPr>
        <w:t>NGHỊ QUYẾT</w:t>
      </w:r>
    </w:p>
    <w:p w14:paraId="3D424C8A" w14:textId="0BCBE7EC" w:rsidR="00780399" w:rsidRPr="00CF3D12" w:rsidRDefault="00780399" w:rsidP="00E8162E">
      <w:pPr>
        <w:spacing w:line="312" w:lineRule="auto"/>
        <w:jc w:val="center"/>
        <w:rPr>
          <w:rFonts w:cs="Times New Roman"/>
          <w:sz w:val="26"/>
          <w:szCs w:val="26"/>
        </w:rPr>
      </w:pPr>
      <w:r w:rsidRPr="00CF3D12">
        <w:rPr>
          <w:rFonts w:cs="Times New Roman"/>
          <w:sz w:val="26"/>
          <w:szCs w:val="26"/>
        </w:rPr>
        <w:t>(</w:t>
      </w:r>
      <w:r w:rsidRPr="00CF3D12">
        <w:rPr>
          <w:rFonts w:cs="Times New Roman"/>
          <w:i/>
          <w:sz w:val="26"/>
          <w:szCs w:val="26"/>
        </w:rPr>
        <w:t xml:space="preserve">V/v: </w:t>
      </w:r>
      <w:r w:rsidR="00456A11" w:rsidRPr="00CF3D12">
        <w:rPr>
          <w:rFonts w:cs="Times New Roman"/>
          <w:i/>
          <w:sz w:val="26"/>
          <w:szCs w:val="26"/>
        </w:rPr>
        <w:t xml:space="preserve">Đại hội đồng cổ đông </w:t>
      </w:r>
      <w:r w:rsidR="00AA5B17">
        <w:rPr>
          <w:rFonts w:cs="Times New Roman"/>
          <w:i/>
          <w:sz w:val="26"/>
          <w:szCs w:val="26"/>
        </w:rPr>
        <w:t>bất thường lần 1</w:t>
      </w:r>
      <w:r w:rsidR="00456A11" w:rsidRPr="00CF3D12">
        <w:rPr>
          <w:rFonts w:cs="Times New Roman"/>
          <w:i/>
          <w:sz w:val="26"/>
          <w:szCs w:val="26"/>
        </w:rPr>
        <w:t xml:space="preserve"> năm </w:t>
      </w:r>
      <w:r w:rsidR="008F60DF" w:rsidRPr="00CF3D12">
        <w:rPr>
          <w:rFonts w:cs="Times New Roman"/>
          <w:i/>
          <w:sz w:val="26"/>
          <w:szCs w:val="26"/>
        </w:rPr>
        <w:t>20</w:t>
      </w:r>
      <w:r w:rsidR="00043371" w:rsidRPr="00CF3D12">
        <w:rPr>
          <w:rFonts w:cs="Times New Roman"/>
          <w:i/>
          <w:sz w:val="26"/>
          <w:szCs w:val="26"/>
        </w:rPr>
        <w:t>2</w:t>
      </w:r>
      <w:r w:rsidR="00C4482C">
        <w:rPr>
          <w:rFonts w:cs="Times New Roman"/>
          <w:i/>
          <w:sz w:val="26"/>
          <w:szCs w:val="26"/>
        </w:rPr>
        <w:t>1</w:t>
      </w:r>
      <w:r w:rsidR="00A127C2" w:rsidRPr="00CF3D12">
        <w:rPr>
          <w:rFonts w:cs="Times New Roman"/>
          <w:i/>
          <w:sz w:val="26"/>
          <w:szCs w:val="26"/>
        </w:rPr>
        <w:t>)</w:t>
      </w:r>
    </w:p>
    <w:p w14:paraId="337F3009" w14:textId="0468F938" w:rsidR="00780399" w:rsidRPr="00CF3D12" w:rsidRDefault="00CF3D12" w:rsidP="003A4F9F">
      <w:pPr>
        <w:spacing w:line="360" w:lineRule="auto"/>
        <w:jc w:val="center"/>
        <w:rPr>
          <w:rFonts w:cs="Times New Roman"/>
          <w:b/>
          <w:bCs/>
          <w:sz w:val="26"/>
          <w:szCs w:val="26"/>
        </w:rPr>
      </w:pPr>
      <w:r w:rsidRPr="00CF3D12">
        <w:rPr>
          <w:rFonts w:cs="Times New Roman"/>
          <w:b/>
          <w:bCs/>
          <w:sz w:val="26"/>
          <w:szCs w:val="26"/>
        </w:rPr>
        <w:t>________________</w:t>
      </w:r>
    </w:p>
    <w:p w14:paraId="3162A44F" w14:textId="77777777" w:rsidR="000B5E94" w:rsidRPr="00CF3D12" w:rsidRDefault="00456A11" w:rsidP="00E8162E">
      <w:pPr>
        <w:spacing w:before="120" w:after="120" w:line="312" w:lineRule="auto"/>
        <w:jc w:val="center"/>
        <w:rPr>
          <w:rFonts w:cs="Times New Roman"/>
          <w:b/>
        </w:rPr>
      </w:pPr>
      <w:r w:rsidRPr="00CF3D12">
        <w:rPr>
          <w:rFonts w:cs="Times New Roman"/>
          <w:b/>
        </w:rPr>
        <w:t>ĐẠI HỘI ĐỒNG CỔ ĐÔNG</w:t>
      </w:r>
      <w:r w:rsidR="00463038" w:rsidRPr="00CF3D12">
        <w:rPr>
          <w:rFonts w:cs="Times New Roman"/>
          <w:b/>
        </w:rPr>
        <w:br/>
      </w:r>
      <w:r w:rsidR="000B5E94" w:rsidRPr="00CF3D12">
        <w:rPr>
          <w:rFonts w:cs="Times New Roman"/>
          <w:b/>
        </w:rPr>
        <w:t xml:space="preserve">CÔNG TY CỔ PHẦN </w:t>
      </w:r>
      <w:r w:rsidR="00F75592" w:rsidRPr="00CF3D12">
        <w:rPr>
          <w:rFonts w:cs="Times New Roman"/>
          <w:b/>
        </w:rPr>
        <w:t>TẬP ĐOÀN</w:t>
      </w:r>
      <w:r w:rsidR="000B5E94" w:rsidRPr="00CF3D12">
        <w:rPr>
          <w:rFonts w:cs="Times New Roman"/>
          <w:b/>
        </w:rPr>
        <w:t xml:space="preserve"> </w:t>
      </w:r>
      <w:r w:rsidR="00334680" w:rsidRPr="00CF3D12">
        <w:rPr>
          <w:rFonts w:cs="Times New Roman"/>
          <w:b/>
        </w:rPr>
        <w:t>HI</w:t>
      </w:r>
      <w:r w:rsidR="001707DA" w:rsidRPr="00CF3D12">
        <w:rPr>
          <w:rFonts w:cs="Times New Roman"/>
          <w:b/>
        </w:rPr>
        <w:t>PT</w:t>
      </w:r>
    </w:p>
    <w:p w14:paraId="304638C7" w14:textId="77777777" w:rsidR="000B5E94" w:rsidRPr="00C37F2C" w:rsidRDefault="000B5E94" w:rsidP="00CF3D12">
      <w:pPr>
        <w:spacing w:before="180" w:line="288" w:lineRule="auto"/>
        <w:ind w:firstLine="567"/>
        <w:rPr>
          <w:rFonts w:cs="Times New Roman"/>
          <w:b/>
          <w:bCs/>
          <w:i/>
          <w:sz w:val="26"/>
          <w:szCs w:val="26"/>
        </w:rPr>
      </w:pPr>
      <w:r w:rsidRPr="00C37F2C">
        <w:rPr>
          <w:rFonts w:cs="Times New Roman"/>
          <w:b/>
          <w:bCs/>
          <w:i/>
          <w:sz w:val="26"/>
          <w:szCs w:val="26"/>
        </w:rPr>
        <w:t>Căn cứ:</w:t>
      </w:r>
    </w:p>
    <w:p w14:paraId="10FCE81D" w14:textId="77777777" w:rsidR="000B5E94" w:rsidRPr="00CF3D12" w:rsidRDefault="00BE6C8E" w:rsidP="00CF3D12">
      <w:pPr>
        <w:numPr>
          <w:ilvl w:val="0"/>
          <w:numId w:val="4"/>
        </w:numPr>
        <w:spacing w:line="288" w:lineRule="auto"/>
        <w:ind w:left="0" w:firstLine="567"/>
        <w:jc w:val="both"/>
        <w:rPr>
          <w:rFonts w:cs="Times New Roman"/>
          <w:i/>
          <w:sz w:val="26"/>
          <w:szCs w:val="26"/>
        </w:rPr>
      </w:pPr>
      <w:r w:rsidRPr="00CF3D12">
        <w:rPr>
          <w:rFonts w:cs="Times New Roman"/>
          <w:i/>
          <w:sz w:val="26"/>
          <w:szCs w:val="26"/>
        </w:rPr>
        <w:t xml:space="preserve">Luật Doanh nghiệp năm </w:t>
      </w:r>
      <w:proofErr w:type="gramStart"/>
      <w:r w:rsidRPr="00CF3D12">
        <w:rPr>
          <w:rFonts w:cs="Times New Roman"/>
          <w:i/>
          <w:sz w:val="26"/>
          <w:szCs w:val="26"/>
        </w:rPr>
        <w:t>2014</w:t>
      </w:r>
      <w:r w:rsidR="00456A11" w:rsidRPr="00CF3D12">
        <w:rPr>
          <w:rFonts w:cs="Times New Roman"/>
          <w:i/>
          <w:sz w:val="26"/>
          <w:szCs w:val="26"/>
        </w:rPr>
        <w:t>;</w:t>
      </w:r>
      <w:proofErr w:type="gramEnd"/>
    </w:p>
    <w:p w14:paraId="51614E64" w14:textId="77777777" w:rsidR="00456A11" w:rsidRPr="00CF3D12" w:rsidRDefault="00456A11" w:rsidP="00CF3D12">
      <w:pPr>
        <w:numPr>
          <w:ilvl w:val="0"/>
          <w:numId w:val="4"/>
        </w:numPr>
        <w:spacing w:line="288" w:lineRule="auto"/>
        <w:ind w:left="0" w:firstLine="567"/>
        <w:jc w:val="both"/>
        <w:rPr>
          <w:rFonts w:cs="Times New Roman"/>
          <w:i/>
          <w:sz w:val="26"/>
          <w:szCs w:val="26"/>
        </w:rPr>
      </w:pPr>
      <w:r w:rsidRPr="00CF3D12">
        <w:rPr>
          <w:rFonts w:cs="Times New Roman"/>
          <w:i/>
          <w:sz w:val="26"/>
          <w:szCs w:val="26"/>
        </w:rPr>
        <w:t xml:space="preserve">Điều lệ của Công ty </w:t>
      </w:r>
      <w:r w:rsidR="003223D3" w:rsidRPr="00CF3D12">
        <w:rPr>
          <w:rFonts w:cs="Times New Roman"/>
          <w:i/>
          <w:sz w:val="26"/>
          <w:szCs w:val="26"/>
        </w:rPr>
        <w:t>Cổ phần Tập đoàn HIPT</w:t>
      </w:r>
      <w:r w:rsidR="005E1CEF" w:rsidRPr="00CF3D12">
        <w:rPr>
          <w:rFonts w:cs="Times New Roman"/>
          <w:i/>
          <w:sz w:val="26"/>
          <w:szCs w:val="26"/>
        </w:rPr>
        <w:t xml:space="preserve"> (Công ty</w:t>
      </w:r>
      <w:proofErr w:type="gramStart"/>
      <w:r w:rsidR="005E1CEF" w:rsidRPr="00CF3D12">
        <w:rPr>
          <w:rFonts w:cs="Times New Roman"/>
          <w:i/>
          <w:sz w:val="26"/>
          <w:szCs w:val="26"/>
        </w:rPr>
        <w:t>)</w:t>
      </w:r>
      <w:r w:rsidR="003223D3" w:rsidRPr="00CF3D12">
        <w:rPr>
          <w:rFonts w:cs="Times New Roman"/>
          <w:i/>
          <w:sz w:val="26"/>
          <w:szCs w:val="26"/>
        </w:rPr>
        <w:t>;</w:t>
      </w:r>
      <w:proofErr w:type="gramEnd"/>
    </w:p>
    <w:p w14:paraId="1D093277" w14:textId="28EBACF8" w:rsidR="00417D17" w:rsidRPr="00CF3D12" w:rsidRDefault="00417D17" w:rsidP="00CF3D12">
      <w:pPr>
        <w:numPr>
          <w:ilvl w:val="0"/>
          <w:numId w:val="4"/>
        </w:numPr>
        <w:spacing w:line="288" w:lineRule="auto"/>
        <w:ind w:left="0" w:firstLine="567"/>
        <w:jc w:val="both"/>
        <w:rPr>
          <w:rFonts w:cs="Times New Roman"/>
          <w:i/>
          <w:sz w:val="26"/>
          <w:szCs w:val="26"/>
        </w:rPr>
      </w:pPr>
      <w:r w:rsidRPr="00CF3D12">
        <w:rPr>
          <w:rFonts w:cs="Times New Roman"/>
          <w:i/>
          <w:sz w:val="26"/>
          <w:szCs w:val="26"/>
        </w:rPr>
        <w:t xml:space="preserve">Biên bản họp </w:t>
      </w:r>
      <w:r w:rsidR="003223D3" w:rsidRPr="00CF3D12">
        <w:rPr>
          <w:rFonts w:cs="Times New Roman"/>
          <w:i/>
          <w:sz w:val="26"/>
          <w:szCs w:val="26"/>
        </w:rPr>
        <w:t xml:space="preserve">Đại hội đồng cổ đông </w:t>
      </w:r>
      <w:r w:rsidR="00AA5B17">
        <w:rPr>
          <w:rFonts w:cs="Times New Roman"/>
          <w:i/>
          <w:sz w:val="26"/>
          <w:szCs w:val="26"/>
        </w:rPr>
        <w:t>b</w:t>
      </w:r>
      <w:r w:rsidR="004504AA">
        <w:rPr>
          <w:rFonts w:cs="Times New Roman"/>
          <w:i/>
          <w:sz w:val="26"/>
          <w:szCs w:val="26"/>
        </w:rPr>
        <w:t>ất thường lần 1 năm 2021 của</w:t>
      </w:r>
      <w:r w:rsidR="003223D3" w:rsidRPr="00CF3D12">
        <w:rPr>
          <w:rFonts w:cs="Times New Roman"/>
          <w:i/>
          <w:sz w:val="26"/>
          <w:szCs w:val="26"/>
        </w:rPr>
        <w:t xml:space="preserve"> Công ty Cổ phần Tập đoàn HIPT ngày</w:t>
      </w:r>
      <w:r w:rsidR="00D32D1B" w:rsidRPr="00CF3D12">
        <w:rPr>
          <w:rFonts w:cs="Times New Roman"/>
          <w:i/>
          <w:sz w:val="26"/>
          <w:szCs w:val="26"/>
        </w:rPr>
        <w:t xml:space="preserve"> </w:t>
      </w:r>
      <w:r w:rsidR="00C4482C">
        <w:rPr>
          <w:rFonts w:cs="Times New Roman"/>
          <w:i/>
          <w:sz w:val="26"/>
          <w:szCs w:val="26"/>
        </w:rPr>
        <w:t>25</w:t>
      </w:r>
      <w:r w:rsidR="005E1CEF" w:rsidRPr="00CF3D12">
        <w:rPr>
          <w:rFonts w:cs="Times New Roman"/>
          <w:i/>
          <w:sz w:val="26"/>
          <w:szCs w:val="26"/>
        </w:rPr>
        <w:t xml:space="preserve"> tháng </w:t>
      </w:r>
      <w:r w:rsidR="00924423" w:rsidRPr="00CF3D12">
        <w:rPr>
          <w:rFonts w:cs="Times New Roman"/>
          <w:i/>
          <w:sz w:val="26"/>
          <w:szCs w:val="26"/>
        </w:rPr>
        <w:t>0</w:t>
      </w:r>
      <w:r w:rsidR="0038636E" w:rsidRPr="00CF3D12">
        <w:rPr>
          <w:rFonts w:cs="Times New Roman"/>
          <w:i/>
          <w:sz w:val="26"/>
          <w:szCs w:val="26"/>
        </w:rPr>
        <w:t>9</w:t>
      </w:r>
      <w:r w:rsidR="007972CF" w:rsidRPr="00CF3D12">
        <w:rPr>
          <w:rFonts w:cs="Times New Roman"/>
          <w:i/>
          <w:sz w:val="26"/>
          <w:szCs w:val="26"/>
        </w:rPr>
        <w:t xml:space="preserve"> năm 20</w:t>
      </w:r>
      <w:r w:rsidR="0038636E" w:rsidRPr="00CF3D12">
        <w:rPr>
          <w:rFonts w:cs="Times New Roman"/>
          <w:i/>
          <w:sz w:val="26"/>
          <w:szCs w:val="26"/>
        </w:rPr>
        <w:t>2</w:t>
      </w:r>
      <w:r w:rsidR="00C4482C">
        <w:rPr>
          <w:rFonts w:cs="Times New Roman"/>
          <w:i/>
          <w:sz w:val="26"/>
          <w:szCs w:val="26"/>
        </w:rPr>
        <w:t>1</w:t>
      </w:r>
      <w:r w:rsidR="007972CF" w:rsidRPr="00CF3D12">
        <w:rPr>
          <w:rFonts w:cs="Times New Roman"/>
          <w:i/>
          <w:sz w:val="26"/>
          <w:szCs w:val="26"/>
        </w:rPr>
        <w:t>,</w:t>
      </w:r>
    </w:p>
    <w:p w14:paraId="04E1B46F" w14:textId="77777777" w:rsidR="000B5E94" w:rsidRPr="00CF3D12" w:rsidRDefault="000B5E94">
      <w:pPr>
        <w:jc w:val="both"/>
        <w:rPr>
          <w:rFonts w:cs="Times New Roman"/>
          <w:sz w:val="26"/>
          <w:szCs w:val="26"/>
        </w:rPr>
      </w:pPr>
    </w:p>
    <w:p w14:paraId="61D3B873" w14:textId="77777777" w:rsidR="000B5E94" w:rsidRPr="00674D1D" w:rsidRDefault="00653B60">
      <w:pPr>
        <w:jc w:val="center"/>
        <w:rPr>
          <w:rFonts w:cs="Times New Roman"/>
          <w:b/>
        </w:rPr>
      </w:pPr>
      <w:r w:rsidRPr="00674D1D">
        <w:rPr>
          <w:rFonts w:cs="Times New Roman"/>
          <w:b/>
        </w:rPr>
        <w:t>QUYẾT NGHỊ</w:t>
      </w:r>
    </w:p>
    <w:p w14:paraId="1258017A" w14:textId="77777777" w:rsidR="000C766D" w:rsidRPr="00CF3D12" w:rsidRDefault="000C766D">
      <w:pPr>
        <w:jc w:val="center"/>
        <w:rPr>
          <w:rFonts w:cs="Times New Roman"/>
          <w:b/>
          <w:sz w:val="26"/>
          <w:szCs w:val="26"/>
        </w:rPr>
      </w:pPr>
    </w:p>
    <w:p w14:paraId="553D55CC" w14:textId="079F76B0" w:rsidR="00CF55F3" w:rsidRPr="00674D1D" w:rsidRDefault="003223D3" w:rsidP="00821A8F">
      <w:pPr>
        <w:numPr>
          <w:ilvl w:val="0"/>
          <w:numId w:val="6"/>
        </w:numPr>
        <w:tabs>
          <w:tab w:val="clear" w:pos="2127"/>
        </w:tabs>
        <w:spacing w:after="120" w:line="276" w:lineRule="auto"/>
        <w:ind w:left="0" w:firstLine="567"/>
        <w:jc w:val="both"/>
        <w:rPr>
          <w:rFonts w:cs="Times New Roman"/>
          <w:b/>
          <w:sz w:val="26"/>
          <w:szCs w:val="26"/>
        </w:rPr>
      </w:pPr>
      <w:r w:rsidRPr="00674D1D">
        <w:rPr>
          <w:rFonts w:cs="Times New Roman"/>
          <w:b/>
          <w:sz w:val="26"/>
          <w:szCs w:val="26"/>
        </w:rPr>
        <w:t xml:space="preserve">Thông qua </w:t>
      </w:r>
      <w:r w:rsidR="007F15FC">
        <w:rPr>
          <w:rFonts w:cs="Times New Roman"/>
          <w:b/>
          <w:sz w:val="26"/>
          <w:szCs w:val="26"/>
        </w:rPr>
        <w:t>điều chỉnh kế hoạch kinh doanh niên độ 2021-2022 như sau:</w:t>
      </w:r>
    </w:p>
    <w:tbl>
      <w:tblPr>
        <w:tblW w:w="469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404"/>
        <w:gridCol w:w="4076"/>
      </w:tblGrid>
      <w:tr w:rsidR="004512FE" w:rsidRPr="00674D1D" w14:paraId="2B0A859C" w14:textId="77777777" w:rsidTr="00242E7B">
        <w:tc>
          <w:tcPr>
            <w:tcW w:w="658" w:type="pct"/>
            <w:shd w:val="clear" w:color="auto" w:fill="D9D9D9" w:themeFill="background1" w:themeFillShade="D9"/>
            <w:vAlign w:val="center"/>
          </w:tcPr>
          <w:p w14:paraId="2D1160F5" w14:textId="77777777" w:rsidR="004512FE" w:rsidRPr="00674D1D" w:rsidRDefault="004512FE" w:rsidP="00821A8F">
            <w:pPr>
              <w:spacing w:line="276" w:lineRule="auto"/>
              <w:jc w:val="center"/>
              <w:rPr>
                <w:rFonts w:cs="Times New Roman"/>
                <w:b/>
                <w:sz w:val="26"/>
                <w:szCs w:val="26"/>
              </w:rPr>
            </w:pPr>
            <w:r w:rsidRPr="00674D1D">
              <w:rPr>
                <w:rFonts w:cs="Times New Roman"/>
                <w:b/>
                <w:sz w:val="26"/>
                <w:szCs w:val="26"/>
              </w:rPr>
              <w:t>STT</w:t>
            </w:r>
          </w:p>
        </w:tc>
        <w:tc>
          <w:tcPr>
            <w:tcW w:w="1976" w:type="pct"/>
            <w:shd w:val="clear" w:color="auto" w:fill="D9D9D9" w:themeFill="background1" w:themeFillShade="D9"/>
            <w:vAlign w:val="center"/>
          </w:tcPr>
          <w:p w14:paraId="0EC1556C" w14:textId="77777777" w:rsidR="004512FE" w:rsidRPr="00674D1D" w:rsidRDefault="004512FE" w:rsidP="00821A8F">
            <w:pPr>
              <w:spacing w:line="276" w:lineRule="auto"/>
              <w:jc w:val="center"/>
              <w:rPr>
                <w:rFonts w:cs="Times New Roman"/>
                <w:b/>
                <w:sz w:val="26"/>
                <w:szCs w:val="26"/>
              </w:rPr>
            </w:pPr>
            <w:r w:rsidRPr="00674D1D">
              <w:rPr>
                <w:rFonts w:cs="Times New Roman"/>
                <w:b/>
                <w:sz w:val="26"/>
                <w:szCs w:val="26"/>
              </w:rPr>
              <w:t>Chỉ tiêu</w:t>
            </w:r>
          </w:p>
        </w:tc>
        <w:tc>
          <w:tcPr>
            <w:tcW w:w="2367" w:type="pct"/>
            <w:shd w:val="clear" w:color="auto" w:fill="D9D9D9" w:themeFill="background1" w:themeFillShade="D9"/>
            <w:vAlign w:val="center"/>
          </w:tcPr>
          <w:p w14:paraId="7C823A7B" w14:textId="6F331B08" w:rsidR="004512FE" w:rsidRPr="00674D1D" w:rsidRDefault="005B38F0" w:rsidP="00821A8F">
            <w:pPr>
              <w:spacing w:line="276" w:lineRule="auto"/>
              <w:jc w:val="center"/>
              <w:rPr>
                <w:rFonts w:cs="Times New Roman"/>
                <w:b/>
                <w:sz w:val="26"/>
                <w:szCs w:val="26"/>
              </w:rPr>
            </w:pPr>
            <w:r>
              <w:rPr>
                <w:rFonts w:cs="Times New Roman"/>
                <w:b/>
                <w:sz w:val="26"/>
                <w:szCs w:val="26"/>
              </w:rPr>
              <w:t>Giá trị</w:t>
            </w:r>
            <w:r w:rsidR="004512FE" w:rsidRPr="00674D1D">
              <w:rPr>
                <w:rFonts w:cs="Times New Roman"/>
                <w:b/>
                <w:sz w:val="26"/>
                <w:szCs w:val="26"/>
              </w:rPr>
              <w:t xml:space="preserve"> (VNĐ)</w:t>
            </w:r>
          </w:p>
        </w:tc>
      </w:tr>
      <w:tr w:rsidR="004512FE" w:rsidRPr="00674D1D" w14:paraId="08722101" w14:textId="77777777" w:rsidTr="00242E7B">
        <w:tc>
          <w:tcPr>
            <w:tcW w:w="658" w:type="pct"/>
            <w:shd w:val="clear" w:color="auto" w:fill="auto"/>
            <w:vAlign w:val="center"/>
          </w:tcPr>
          <w:p w14:paraId="4DB46E23" w14:textId="77777777" w:rsidR="004512FE" w:rsidRPr="00674D1D" w:rsidRDefault="004512FE" w:rsidP="005F483B">
            <w:pPr>
              <w:spacing w:line="276" w:lineRule="auto"/>
              <w:jc w:val="center"/>
              <w:rPr>
                <w:rFonts w:cs="Times New Roman"/>
                <w:sz w:val="26"/>
                <w:szCs w:val="26"/>
              </w:rPr>
            </w:pPr>
            <w:r w:rsidRPr="00674D1D">
              <w:rPr>
                <w:rFonts w:cs="Times New Roman"/>
                <w:sz w:val="26"/>
                <w:szCs w:val="26"/>
              </w:rPr>
              <w:t>1</w:t>
            </w:r>
          </w:p>
        </w:tc>
        <w:tc>
          <w:tcPr>
            <w:tcW w:w="1976" w:type="pct"/>
            <w:shd w:val="clear" w:color="auto" w:fill="auto"/>
            <w:vAlign w:val="center"/>
          </w:tcPr>
          <w:p w14:paraId="1DF224F6" w14:textId="5E40DDB7" w:rsidR="004512FE" w:rsidRPr="00674D1D" w:rsidRDefault="004512FE" w:rsidP="005F483B">
            <w:pPr>
              <w:spacing w:line="276" w:lineRule="auto"/>
              <w:rPr>
                <w:rFonts w:cs="Times New Roman"/>
                <w:sz w:val="26"/>
                <w:szCs w:val="26"/>
              </w:rPr>
            </w:pPr>
            <w:r>
              <w:rPr>
                <w:rFonts w:cs="Times New Roman"/>
                <w:sz w:val="26"/>
                <w:szCs w:val="26"/>
              </w:rPr>
              <w:t>Doanh thu</w:t>
            </w:r>
          </w:p>
        </w:tc>
        <w:tc>
          <w:tcPr>
            <w:tcW w:w="2367" w:type="pct"/>
            <w:shd w:val="clear" w:color="auto" w:fill="auto"/>
          </w:tcPr>
          <w:p w14:paraId="7BD07DAC" w14:textId="4BB4E857" w:rsidR="004512FE" w:rsidRPr="00674D1D" w:rsidRDefault="00256599" w:rsidP="005F483B">
            <w:pPr>
              <w:spacing w:line="276" w:lineRule="auto"/>
              <w:jc w:val="right"/>
              <w:rPr>
                <w:rFonts w:cs="Times New Roman"/>
                <w:sz w:val="26"/>
                <w:szCs w:val="26"/>
              </w:rPr>
            </w:pPr>
            <w:r>
              <w:t>420.000.000.000</w:t>
            </w:r>
          </w:p>
        </w:tc>
      </w:tr>
      <w:tr w:rsidR="004512FE" w:rsidRPr="00674D1D" w14:paraId="3C0CF8A6" w14:textId="77777777" w:rsidTr="00242E7B">
        <w:tc>
          <w:tcPr>
            <w:tcW w:w="658" w:type="pct"/>
            <w:shd w:val="clear" w:color="auto" w:fill="auto"/>
            <w:vAlign w:val="center"/>
          </w:tcPr>
          <w:p w14:paraId="1D68DE09" w14:textId="77777777" w:rsidR="004512FE" w:rsidRPr="00674D1D" w:rsidRDefault="004512FE" w:rsidP="005F483B">
            <w:pPr>
              <w:spacing w:line="276" w:lineRule="auto"/>
              <w:jc w:val="center"/>
              <w:rPr>
                <w:rFonts w:cs="Times New Roman"/>
                <w:sz w:val="26"/>
                <w:szCs w:val="26"/>
              </w:rPr>
            </w:pPr>
            <w:r w:rsidRPr="00674D1D">
              <w:rPr>
                <w:rFonts w:cs="Times New Roman"/>
                <w:sz w:val="26"/>
                <w:szCs w:val="26"/>
              </w:rPr>
              <w:t>2</w:t>
            </w:r>
          </w:p>
        </w:tc>
        <w:tc>
          <w:tcPr>
            <w:tcW w:w="1976" w:type="pct"/>
            <w:shd w:val="clear" w:color="auto" w:fill="auto"/>
            <w:vAlign w:val="center"/>
          </w:tcPr>
          <w:p w14:paraId="5B1ABB5C" w14:textId="4B78B376" w:rsidR="004512FE" w:rsidRPr="00674D1D" w:rsidRDefault="004512FE" w:rsidP="005F483B">
            <w:pPr>
              <w:spacing w:line="276" w:lineRule="auto"/>
              <w:rPr>
                <w:rFonts w:cs="Times New Roman"/>
                <w:sz w:val="26"/>
                <w:szCs w:val="26"/>
              </w:rPr>
            </w:pPr>
            <w:r>
              <w:rPr>
                <w:rFonts w:cs="Times New Roman"/>
                <w:sz w:val="26"/>
                <w:szCs w:val="26"/>
              </w:rPr>
              <w:t>Lợi nhuận</w:t>
            </w:r>
          </w:p>
        </w:tc>
        <w:tc>
          <w:tcPr>
            <w:tcW w:w="2367" w:type="pct"/>
            <w:shd w:val="clear" w:color="auto" w:fill="auto"/>
          </w:tcPr>
          <w:p w14:paraId="34E47944" w14:textId="13185AF3" w:rsidR="004512FE" w:rsidRPr="00674D1D" w:rsidRDefault="00242E7B" w:rsidP="005F483B">
            <w:pPr>
              <w:spacing w:line="276" w:lineRule="auto"/>
              <w:jc w:val="right"/>
              <w:rPr>
                <w:rFonts w:cs="Times New Roman"/>
                <w:sz w:val="26"/>
                <w:szCs w:val="26"/>
              </w:rPr>
            </w:pPr>
            <w:r>
              <w:t>5.000.000.000</w:t>
            </w:r>
          </w:p>
        </w:tc>
      </w:tr>
    </w:tbl>
    <w:p w14:paraId="5A950F54" w14:textId="6BAD197B" w:rsidR="00394BE3" w:rsidRPr="00674D1D" w:rsidRDefault="0057795E" w:rsidP="00821A8F">
      <w:pPr>
        <w:numPr>
          <w:ilvl w:val="0"/>
          <w:numId w:val="6"/>
        </w:numPr>
        <w:tabs>
          <w:tab w:val="clear" w:pos="2127"/>
        </w:tabs>
        <w:spacing w:before="240" w:after="120" w:line="276" w:lineRule="auto"/>
        <w:ind w:left="0" w:firstLine="567"/>
        <w:rPr>
          <w:rFonts w:cs="Times New Roman"/>
          <w:sz w:val="26"/>
          <w:szCs w:val="26"/>
        </w:rPr>
      </w:pPr>
      <w:r>
        <w:rPr>
          <w:rFonts w:cs="Times New Roman"/>
          <w:b/>
          <w:sz w:val="26"/>
          <w:szCs w:val="26"/>
        </w:rPr>
        <w:t>Bán cổ phiếu quỹ của Công ty</w:t>
      </w:r>
    </w:p>
    <w:p w14:paraId="27CF92ED" w14:textId="4C7B9F2A" w:rsidR="00D51772" w:rsidRDefault="005F714E" w:rsidP="001B4503">
      <w:pPr>
        <w:spacing w:after="120" w:line="276" w:lineRule="auto"/>
        <w:ind w:firstLine="567"/>
        <w:jc w:val="both"/>
        <w:rPr>
          <w:rFonts w:cs="Times New Roman"/>
          <w:sz w:val="26"/>
          <w:szCs w:val="26"/>
        </w:rPr>
      </w:pPr>
      <w:r>
        <w:rPr>
          <w:rFonts w:cs="Times New Roman"/>
          <w:sz w:val="26"/>
          <w:szCs w:val="26"/>
        </w:rPr>
        <w:t xml:space="preserve">Thông qua việc bán toàn bộ cổ phiếu quỹ </w:t>
      </w:r>
      <w:r w:rsidR="00FC0143">
        <w:rPr>
          <w:rFonts w:cs="Times New Roman"/>
          <w:sz w:val="26"/>
          <w:szCs w:val="26"/>
        </w:rPr>
        <w:t>c</w:t>
      </w:r>
      <w:r>
        <w:rPr>
          <w:rFonts w:cs="Times New Roman"/>
          <w:sz w:val="26"/>
          <w:szCs w:val="26"/>
        </w:rPr>
        <w:t xml:space="preserve">ủa Công ty trên sàn giao dịch chứng khoán. </w:t>
      </w:r>
      <w:r w:rsidR="002E2BF5">
        <w:rPr>
          <w:rFonts w:cs="Times New Roman"/>
          <w:sz w:val="26"/>
          <w:szCs w:val="26"/>
        </w:rPr>
        <w:t xml:space="preserve">Mức giá bán cổ phiếu không thấp hơn 8.000 VNĐ/cổ phiếu. </w:t>
      </w:r>
      <w:r w:rsidR="00E92607">
        <w:rPr>
          <w:rFonts w:cs="Times New Roman"/>
          <w:sz w:val="26"/>
          <w:szCs w:val="26"/>
        </w:rPr>
        <w:t xml:space="preserve">Giao Hội đồng quản trị công ty </w:t>
      </w:r>
      <w:r w:rsidR="00DE4A02">
        <w:rPr>
          <w:rFonts w:cs="Times New Roman"/>
          <w:sz w:val="26"/>
          <w:szCs w:val="26"/>
        </w:rPr>
        <w:t xml:space="preserve">quyết định </w:t>
      </w:r>
      <w:r w:rsidR="002E2BF5">
        <w:rPr>
          <w:rFonts w:cs="Times New Roman"/>
          <w:sz w:val="26"/>
          <w:szCs w:val="26"/>
        </w:rPr>
        <w:t>phương án bán</w:t>
      </w:r>
      <w:r w:rsidR="00F66D14">
        <w:rPr>
          <w:rFonts w:cs="Times New Roman"/>
          <w:sz w:val="26"/>
          <w:szCs w:val="26"/>
        </w:rPr>
        <w:t xml:space="preserve">, </w:t>
      </w:r>
      <w:r w:rsidR="00DE4A02">
        <w:rPr>
          <w:rFonts w:cs="Times New Roman"/>
          <w:sz w:val="26"/>
          <w:szCs w:val="26"/>
        </w:rPr>
        <w:t xml:space="preserve">mức giá bán </w:t>
      </w:r>
      <w:r w:rsidR="002E2BF5">
        <w:rPr>
          <w:rFonts w:cs="Times New Roman"/>
          <w:sz w:val="26"/>
          <w:szCs w:val="26"/>
        </w:rPr>
        <w:t>cụ thể</w:t>
      </w:r>
      <w:r w:rsidR="00F66D14">
        <w:rPr>
          <w:rFonts w:cs="Times New Roman"/>
          <w:sz w:val="26"/>
          <w:szCs w:val="26"/>
        </w:rPr>
        <w:t>, và thực hiện các thủ tục khác</w:t>
      </w:r>
      <w:r w:rsidR="002E2BF5">
        <w:rPr>
          <w:rFonts w:cs="Times New Roman"/>
          <w:sz w:val="26"/>
          <w:szCs w:val="26"/>
        </w:rPr>
        <w:t xml:space="preserve"> </w:t>
      </w:r>
      <w:r w:rsidR="00DE4A02">
        <w:rPr>
          <w:rFonts w:cs="Times New Roman"/>
          <w:sz w:val="26"/>
          <w:szCs w:val="26"/>
        </w:rPr>
        <w:t xml:space="preserve">phù hợp theo quy định </w:t>
      </w:r>
      <w:r w:rsidR="002E2BF5">
        <w:rPr>
          <w:rFonts w:cs="Times New Roman"/>
          <w:sz w:val="26"/>
          <w:szCs w:val="26"/>
        </w:rPr>
        <w:t>của pháp luật.</w:t>
      </w:r>
    </w:p>
    <w:p w14:paraId="168AA30F" w14:textId="42A4AF5F" w:rsidR="00821A8F" w:rsidRPr="00B51D43" w:rsidRDefault="00BC63AE" w:rsidP="00821A8F">
      <w:pPr>
        <w:numPr>
          <w:ilvl w:val="0"/>
          <w:numId w:val="6"/>
        </w:numPr>
        <w:tabs>
          <w:tab w:val="clear" w:pos="2127"/>
        </w:tabs>
        <w:spacing w:after="120" w:line="276" w:lineRule="auto"/>
        <w:ind w:left="0" w:firstLine="567"/>
        <w:rPr>
          <w:rFonts w:cs="Times New Roman"/>
          <w:b/>
          <w:bCs/>
          <w:sz w:val="26"/>
          <w:szCs w:val="26"/>
        </w:rPr>
      </w:pPr>
      <w:r>
        <w:rPr>
          <w:rFonts w:cs="Times New Roman"/>
          <w:b/>
          <w:bCs/>
          <w:sz w:val="26"/>
          <w:szCs w:val="26"/>
        </w:rPr>
        <w:t>Chào b</w:t>
      </w:r>
      <w:r w:rsidR="003D5286">
        <w:rPr>
          <w:rFonts w:cs="Times New Roman"/>
          <w:b/>
          <w:bCs/>
          <w:sz w:val="26"/>
          <w:szCs w:val="26"/>
        </w:rPr>
        <w:t>án bổ sung cổ phiếu cho cổ đông hiện hữu</w:t>
      </w:r>
    </w:p>
    <w:p w14:paraId="5F9E3B4F" w14:textId="3C2D01FF" w:rsidR="00821A8F" w:rsidRPr="00B51D43" w:rsidRDefault="00114F81" w:rsidP="006A4C0B">
      <w:pPr>
        <w:pStyle w:val="ListParagraph"/>
        <w:widowControl w:val="0"/>
        <w:spacing w:after="120" w:line="276" w:lineRule="auto"/>
        <w:ind w:left="0" w:firstLine="567"/>
        <w:contextualSpacing w:val="0"/>
        <w:jc w:val="both"/>
        <w:rPr>
          <w:rFonts w:cs="Times New Roman"/>
          <w:sz w:val="26"/>
          <w:szCs w:val="26"/>
        </w:rPr>
      </w:pPr>
      <w:r>
        <w:rPr>
          <w:rFonts w:cs="Times New Roman"/>
          <w:sz w:val="26"/>
          <w:szCs w:val="26"/>
        </w:rPr>
        <w:t>Thông qua việc bán bổ sung cổ phiếu cho cổ đông hiện hữu theo tỷ lệ 186:94 và mức giá chào bán là 8.000 VNĐ</w:t>
      </w:r>
      <w:r w:rsidR="006A4C0B">
        <w:rPr>
          <w:rFonts w:cs="Times New Roman"/>
          <w:sz w:val="26"/>
          <w:szCs w:val="26"/>
        </w:rPr>
        <w:t xml:space="preserve">. </w:t>
      </w:r>
      <w:r w:rsidR="001B4503">
        <w:rPr>
          <w:rFonts w:cs="Times New Roman"/>
          <w:sz w:val="26"/>
          <w:szCs w:val="26"/>
        </w:rPr>
        <w:t>P</w:t>
      </w:r>
      <w:r w:rsidR="006A4C0B">
        <w:rPr>
          <w:rFonts w:cs="Times New Roman"/>
          <w:sz w:val="26"/>
          <w:szCs w:val="26"/>
        </w:rPr>
        <w:t xml:space="preserve">hương án bán </w:t>
      </w:r>
      <w:r w:rsidR="001B4503">
        <w:rPr>
          <w:rFonts w:cs="Times New Roman"/>
          <w:sz w:val="26"/>
          <w:szCs w:val="26"/>
        </w:rPr>
        <w:t xml:space="preserve">cụ thể </w:t>
      </w:r>
      <w:r w:rsidR="00D31D08">
        <w:rPr>
          <w:rFonts w:cs="Times New Roman"/>
          <w:sz w:val="26"/>
          <w:szCs w:val="26"/>
        </w:rPr>
        <w:t>tại phụ lục</w:t>
      </w:r>
      <w:r w:rsidR="00251D48">
        <w:rPr>
          <w:rFonts w:cs="Times New Roman"/>
          <w:sz w:val="26"/>
          <w:szCs w:val="26"/>
        </w:rPr>
        <w:t xml:space="preserve"> 01</w:t>
      </w:r>
      <w:r w:rsidR="006A4C0B">
        <w:rPr>
          <w:rFonts w:cs="Times New Roman"/>
          <w:sz w:val="26"/>
          <w:szCs w:val="26"/>
        </w:rPr>
        <w:t xml:space="preserve"> kèm theo.</w:t>
      </w:r>
    </w:p>
    <w:p w14:paraId="6C84E445" w14:textId="5C6469F6" w:rsidR="00821A8F" w:rsidRDefault="00484377" w:rsidP="00484377">
      <w:pPr>
        <w:numPr>
          <w:ilvl w:val="0"/>
          <w:numId w:val="6"/>
        </w:numPr>
        <w:tabs>
          <w:tab w:val="clear" w:pos="2127"/>
        </w:tabs>
        <w:spacing w:after="120" w:line="276" w:lineRule="auto"/>
        <w:ind w:left="0" w:firstLine="567"/>
        <w:rPr>
          <w:rFonts w:cs="Times New Roman"/>
          <w:b/>
          <w:sz w:val="26"/>
          <w:szCs w:val="26"/>
          <w:lang w:val="vi-VN"/>
        </w:rPr>
      </w:pPr>
      <w:r>
        <w:rPr>
          <w:rFonts w:cs="Times New Roman"/>
          <w:b/>
          <w:sz w:val="26"/>
          <w:szCs w:val="26"/>
        </w:rPr>
        <w:t>Thẩm quyền quyết định nội dung đầu tư</w:t>
      </w:r>
    </w:p>
    <w:p w14:paraId="701E9028" w14:textId="17222CA1" w:rsidR="00CF122D" w:rsidRPr="001E47DB" w:rsidRDefault="00484377" w:rsidP="00CF122D">
      <w:pPr>
        <w:pStyle w:val="ListParagraph"/>
        <w:spacing w:after="120" w:line="276" w:lineRule="auto"/>
        <w:ind w:left="0" w:firstLine="567"/>
        <w:contextualSpacing w:val="0"/>
        <w:jc w:val="both"/>
        <w:rPr>
          <w:rFonts w:cs="Times New Roman"/>
          <w:noProof/>
          <w:sz w:val="26"/>
          <w:szCs w:val="26"/>
        </w:rPr>
      </w:pPr>
      <w:r>
        <w:rPr>
          <w:rFonts w:cs="Times New Roman"/>
          <w:bCs/>
          <w:sz w:val="26"/>
          <w:szCs w:val="26"/>
        </w:rPr>
        <w:t xml:space="preserve">Thông qua việc giao Hội đồng quản trị CTCP Tập đoàn HIPT </w:t>
      </w:r>
      <w:r w:rsidR="006125E1">
        <w:rPr>
          <w:rFonts w:cs="Times New Roman"/>
          <w:bCs/>
          <w:sz w:val="26"/>
          <w:szCs w:val="26"/>
        </w:rPr>
        <w:t xml:space="preserve">quyền được </w:t>
      </w:r>
      <w:r w:rsidR="00CF122D" w:rsidRPr="001E47DB">
        <w:rPr>
          <w:rFonts w:cs="Times New Roman"/>
          <w:noProof/>
          <w:sz w:val="26"/>
          <w:szCs w:val="26"/>
        </w:rPr>
        <w:t>quyết định và thực hiện các hoạt động đầu tư</w:t>
      </w:r>
      <w:r w:rsidR="00010C4F">
        <w:rPr>
          <w:rFonts w:cs="Times New Roman"/>
          <w:noProof/>
          <w:sz w:val="26"/>
          <w:szCs w:val="26"/>
        </w:rPr>
        <w:t xml:space="preserve"> mà không cần xin phép Hội đồng cổ đông, </w:t>
      </w:r>
      <w:r w:rsidR="00CF122D" w:rsidRPr="001E47DB">
        <w:rPr>
          <w:rFonts w:cs="Times New Roman"/>
          <w:noProof/>
          <w:sz w:val="26"/>
          <w:szCs w:val="26"/>
        </w:rPr>
        <w:t>bao gồm cả các hoạt động đầu tư có giá trị từ 35% tổng giá trị tài sản của Công ty trở lên.</w:t>
      </w:r>
    </w:p>
    <w:p w14:paraId="5F8D4CDC" w14:textId="77777777" w:rsidR="00CF122D" w:rsidRPr="001E47DB" w:rsidRDefault="00CF122D" w:rsidP="00CF122D">
      <w:pPr>
        <w:pStyle w:val="ListParagraph"/>
        <w:spacing w:after="120" w:line="276" w:lineRule="auto"/>
        <w:ind w:left="0" w:firstLine="567"/>
        <w:contextualSpacing w:val="0"/>
        <w:jc w:val="both"/>
        <w:rPr>
          <w:rFonts w:cs="Times New Roman"/>
          <w:b/>
          <w:bCs/>
          <w:sz w:val="26"/>
          <w:szCs w:val="26"/>
        </w:rPr>
      </w:pPr>
      <w:r w:rsidRPr="001E47DB">
        <w:rPr>
          <w:rFonts w:cs="Times New Roman"/>
          <w:noProof/>
          <w:sz w:val="26"/>
          <w:szCs w:val="26"/>
        </w:rPr>
        <w:lastRenderedPageBreak/>
        <w:t>Hội đồng Quản trị báo cáo với HĐCĐ trong cuộc họp HĐCĐ thường niên hoặc bất thường (nếu có) về các hoạt động đầu tư và giao dịch kể trên.</w:t>
      </w:r>
    </w:p>
    <w:p w14:paraId="413611CB" w14:textId="745D440B" w:rsidR="00821A8F" w:rsidRPr="00F32E16" w:rsidRDefault="002E7655" w:rsidP="00821A8F">
      <w:pPr>
        <w:numPr>
          <w:ilvl w:val="0"/>
          <w:numId w:val="6"/>
        </w:numPr>
        <w:tabs>
          <w:tab w:val="clear" w:pos="2127"/>
        </w:tabs>
        <w:spacing w:after="120" w:line="276" w:lineRule="auto"/>
        <w:ind w:left="0" w:firstLine="567"/>
        <w:rPr>
          <w:rFonts w:cs="Times New Roman"/>
          <w:b/>
          <w:sz w:val="26"/>
          <w:szCs w:val="26"/>
          <w:lang w:val="vi-VN"/>
        </w:rPr>
      </w:pPr>
      <w:r>
        <w:rPr>
          <w:rFonts w:cs="Times New Roman"/>
          <w:b/>
          <w:sz w:val="26"/>
          <w:szCs w:val="26"/>
        </w:rPr>
        <w:t>Miễn chào mua công khai</w:t>
      </w:r>
    </w:p>
    <w:p w14:paraId="4BEED513" w14:textId="7667E09D" w:rsidR="008262EA" w:rsidRPr="008262EA" w:rsidRDefault="00DC7CE4" w:rsidP="008262EA">
      <w:pPr>
        <w:spacing w:after="120" w:line="276" w:lineRule="auto"/>
        <w:ind w:firstLine="567"/>
        <w:jc w:val="both"/>
        <w:rPr>
          <w:rFonts w:cs="Times New Roman"/>
          <w:b/>
          <w:bCs/>
          <w:sz w:val="26"/>
          <w:szCs w:val="26"/>
        </w:rPr>
      </w:pPr>
      <w:r>
        <w:rPr>
          <w:rFonts w:cs="Times New Roman"/>
          <w:sz w:val="26"/>
          <w:szCs w:val="26"/>
        </w:rPr>
        <w:t xml:space="preserve">Thông qua </w:t>
      </w:r>
      <w:r w:rsidR="00B6585F">
        <w:rPr>
          <w:rFonts w:cs="Times New Roman"/>
          <w:sz w:val="26"/>
          <w:szCs w:val="26"/>
        </w:rPr>
        <w:t xml:space="preserve">và đồng ý để ông </w:t>
      </w:r>
      <w:r w:rsidR="001F691A" w:rsidRPr="00D11E15">
        <w:rPr>
          <w:rFonts w:cs="Times New Roman"/>
          <w:sz w:val="26"/>
          <w:szCs w:val="26"/>
        </w:rPr>
        <w:t>Lê Hải Đoàn tăng tỷ lệ sở hữu cổ phiếu HIG</w:t>
      </w:r>
      <w:r w:rsidR="001F691A">
        <w:rPr>
          <w:rFonts w:cs="Times New Roman"/>
          <w:sz w:val="26"/>
          <w:szCs w:val="26"/>
        </w:rPr>
        <w:t xml:space="preserve"> bằng cách mua cổ phiếu HIG của cổ đông Nguyễn Duy Nguyên với số lượng tối đa 1.000.000 (một triệu) cổ phiếu mà không phải thực hiện thủ tục chào mua công khai</w:t>
      </w:r>
      <w:r w:rsidR="001F691A" w:rsidRPr="008262EA">
        <w:rPr>
          <w:rFonts w:cs="Times New Roman"/>
          <w:b/>
          <w:bCs/>
          <w:sz w:val="26"/>
          <w:szCs w:val="26"/>
        </w:rPr>
        <w:t>.</w:t>
      </w:r>
    </w:p>
    <w:p w14:paraId="0A20EBBD" w14:textId="4C91A8D3" w:rsidR="008262EA" w:rsidRPr="008262EA" w:rsidRDefault="008262EA" w:rsidP="008262EA">
      <w:pPr>
        <w:spacing w:after="120" w:line="276" w:lineRule="auto"/>
        <w:ind w:firstLine="567"/>
        <w:jc w:val="both"/>
        <w:rPr>
          <w:rFonts w:cs="Times New Roman"/>
          <w:b/>
          <w:bCs/>
          <w:sz w:val="26"/>
          <w:szCs w:val="26"/>
        </w:rPr>
      </w:pPr>
      <w:r w:rsidRPr="00457F85">
        <w:rPr>
          <w:rFonts w:cs="Times New Roman"/>
          <w:b/>
          <w:bCs/>
          <w:sz w:val="26"/>
          <w:szCs w:val="26"/>
          <w:u w:val="single"/>
        </w:rPr>
        <w:t>Điều 6.</w:t>
      </w:r>
      <w:r w:rsidRPr="008262EA">
        <w:rPr>
          <w:rFonts w:cs="Times New Roman"/>
          <w:b/>
          <w:bCs/>
          <w:sz w:val="26"/>
          <w:szCs w:val="26"/>
        </w:rPr>
        <w:t xml:space="preserve"> Miễn chào mua công khai</w:t>
      </w:r>
    </w:p>
    <w:p w14:paraId="1C621B53" w14:textId="63334420" w:rsidR="000A21A0" w:rsidRPr="000A21A0" w:rsidRDefault="000A21A0" w:rsidP="00821A8F">
      <w:pPr>
        <w:spacing w:after="120" w:line="276" w:lineRule="auto"/>
        <w:ind w:firstLine="567"/>
        <w:jc w:val="both"/>
        <w:rPr>
          <w:rFonts w:cs="Times New Roman"/>
          <w:sz w:val="26"/>
          <w:szCs w:val="26"/>
        </w:rPr>
      </w:pPr>
      <w:r>
        <w:rPr>
          <w:rFonts w:cs="Times New Roman"/>
          <w:sz w:val="26"/>
          <w:szCs w:val="26"/>
        </w:rPr>
        <w:t xml:space="preserve">Thông qua và đồng ý để ông </w:t>
      </w:r>
      <w:r w:rsidRPr="00D11E15">
        <w:rPr>
          <w:rFonts w:cs="Times New Roman"/>
          <w:sz w:val="26"/>
          <w:szCs w:val="26"/>
        </w:rPr>
        <w:t>Lê Hải Đoàn tăng tỷ lệ sở hữu cổ phiếu HIG</w:t>
      </w:r>
      <w:r>
        <w:rPr>
          <w:rFonts w:cs="Times New Roman"/>
          <w:sz w:val="26"/>
          <w:szCs w:val="26"/>
        </w:rPr>
        <w:t xml:space="preserve"> bằng cách mua cổ phiếu HIG của cổ đông Mai Hoàng với số lượng tối đa 1.000.000 (một triệu) cổ phiếu mà không phải thực hiện thủ tục chào mua công khai.</w:t>
      </w:r>
    </w:p>
    <w:tbl>
      <w:tblPr>
        <w:tblW w:w="10050" w:type="dxa"/>
        <w:tblInd w:w="-227" w:type="dxa"/>
        <w:tblLook w:val="01E0" w:firstRow="1" w:lastRow="1" w:firstColumn="1" w:lastColumn="1" w:noHBand="0" w:noVBand="0"/>
      </w:tblPr>
      <w:tblGrid>
        <w:gridCol w:w="4055"/>
        <w:gridCol w:w="5995"/>
      </w:tblGrid>
      <w:tr w:rsidR="000B5E94" w:rsidRPr="00674D1D" w14:paraId="6C98620C" w14:textId="77777777" w:rsidTr="00674D1D">
        <w:tc>
          <w:tcPr>
            <w:tcW w:w="4055" w:type="dxa"/>
          </w:tcPr>
          <w:p w14:paraId="634C7D5A" w14:textId="77777777" w:rsidR="000B5E94" w:rsidRPr="00674D1D" w:rsidRDefault="000B5E94">
            <w:pPr>
              <w:rPr>
                <w:sz w:val="26"/>
                <w:szCs w:val="26"/>
                <w:lang w:val="vi-VN"/>
              </w:rPr>
            </w:pPr>
          </w:p>
          <w:p w14:paraId="11FE17B7" w14:textId="77777777" w:rsidR="000B5E94" w:rsidRPr="00674D1D" w:rsidRDefault="000B5E94" w:rsidP="00597A73">
            <w:pPr>
              <w:spacing w:line="276" w:lineRule="auto"/>
              <w:ind w:left="653"/>
              <w:rPr>
                <w:b/>
                <w:i/>
                <w:sz w:val="24"/>
                <w:szCs w:val="24"/>
                <w:lang w:val="vi-VN"/>
              </w:rPr>
            </w:pPr>
            <w:r w:rsidRPr="00674D1D">
              <w:rPr>
                <w:b/>
                <w:i/>
                <w:sz w:val="24"/>
                <w:szCs w:val="24"/>
                <w:lang w:val="vi-VN"/>
              </w:rPr>
              <w:t>Nơi nhận:</w:t>
            </w:r>
          </w:p>
          <w:p w14:paraId="5BE08D63" w14:textId="77777777" w:rsidR="008A0051" w:rsidRPr="00674D1D" w:rsidRDefault="00B005BA" w:rsidP="00597A73">
            <w:pPr>
              <w:numPr>
                <w:ilvl w:val="0"/>
                <w:numId w:val="5"/>
              </w:numPr>
              <w:tabs>
                <w:tab w:val="num" w:pos="227"/>
              </w:tabs>
              <w:spacing w:line="276" w:lineRule="auto"/>
              <w:ind w:left="1080"/>
              <w:rPr>
                <w:i/>
                <w:sz w:val="24"/>
                <w:szCs w:val="24"/>
                <w:lang w:val="vi-VN"/>
              </w:rPr>
            </w:pPr>
            <w:r w:rsidRPr="00674D1D">
              <w:rPr>
                <w:i/>
                <w:sz w:val="24"/>
                <w:szCs w:val="24"/>
                <w:lang w:val="vi-VN"/>
              </w:rPr>
              <w:t>Cá nhân/Tổ chức liên quan</w:t>
            </w:r>
            <w:r w:rsidR="008A0051" w:rsidRPr="00674D1D">
              <w:rPr>
                <w:i/>
                <w:sz w:val="24"/>
                <w:szCs w:val="24"/>
                <w:lang w:val="vi-VN"/>
              </w:rPr>
              <w:t>,</w:t>
            </w:r>
          </w:p>
          <w:p w14:paraId="509CFADC" w14:textId="77777777" w:rsidR="0046124C" w:rsidRPr="00674D1D" w:rsidRDefault="008A0051" w:rsidP="00597A73">
            <w:pPr>
              <w:numPr>
                <w:ilvl w:val="0"/>
                <w:numId w:val="5"/>
              </w:numPr>
              <w:tabs>
                <w:tab w:val="num" w:pos="227"/>
              </w:tabs>
              <w:spacing w:line="276" w:lineRule="auto"/>
              <w:ind w:left="1080"/>
              <w:rPr>
                <w:sz w:val="26"/>
                <w:szCs w:val="26"/>
                <w:lang w:val="vi-VN"/>
              </w:rPr>
            </w:pPr>
            <w:r w:rsidRPr="00674D1D">
              <w:rPr>
                <w:i/>
                <w:sz w:val="24"/>
                <w:szCs w:val="24"/>
                <w:lang w:val="vi-VN"/>
              </w:rPr>
              <w:t>Lưu</w:t>
            </w:r>
            <w:r w:rsidR="00A64F68" w:rsidRPr="00674D1D">
              <w:rPr>
                <w:i/>
                <w:sz w:val="24"/>
                <w:szCs w:val="24"/>
                <w:lang w:val="vi-VN"/>
              </w:rPr>
              <w:t>:</w:t>
            </w:r>
            <w:r w:rsidRPr="00674D1D">
              <w:rPr>
                <w:i/>
                <w:sz w:val="24"/>
                <w:szCs w:val="24"/>
                <w:lang w:val="vi-VN"/>
              </w:rPr>
              <w:t xml:space="preserve"> </w:t>
            </w:r>
            <w:r w:rsidR="0046124C" w:rsidRPr="00674D1D">
              <w:rPr>
                <w:i/>
                <w:sz w:val="24"/>
                <w:szCs w:val="24"/>
                <w:lang w:val="vi-VN"/>
              </w:rPr>
              <w:t>VP HĐQT</w:t>
            </w:r>
            <w:r w:rsidR="00A64F68" w:rsidRPr="00674D1D">
              <w:rPr>
                <w:i/>
                <w:sz w:val="24"/>
                <w:szCs w:val="24"/>
                <w:lang w:val="vi-VN"/>
              </w:rPr>
              <w:t xml:space="preserve">, </w:t>
            </w:r>
            <w:r w:rsidR="007C630C" w:rsidRPr="00674D1D">
              <w:rPr>
                <w:i/>
                <w:sz w:val="24"/>
                <w:szCs w:val="24"/>
                <w:lang w:val="vi-VN"/>
              </w:rPr>
              <w:t>Văn phòng</w:t>
            </w:r>
          </w:p>
        </w:tc>
        <w:tc>
          <w:tcPr>
            <w:tcW w:w="5995" w:type="dxa"/>
          </w:tcPr>
          <w:p w14:paraId="3150B957" w14:textId="77777777" w:rsidR="000B5E94" w:rsidRPr="00674D1D" w:rsidRDefault="000B5E94">
            <w:pPr>
              <w:jc w:val="center"/>
              <w:rPr>
                <w:rFonts w:ascii=".VnTimeH" w:hAnsi=".VnTimeH"/>
                <w:sz w:val="26"/>
                <w:szCs w:val="26"/>
                <w:lang w:val="vi-VN"/>
              </w:rPr>
            </w:pPr>
          </w:p>
          <w:p w14:paraId="00E31C45" w14:textId="77777777" w:rsidR="000B5E94" w:rsidRPr="00674D1D" w:rsidRDefault="000B5E94" w:rsidP="00916336">
            <w:pPr>
              <w:spacing w:line="360" w:lineRule="auto"/>
              <w:jc w:val="center"/>
              <w:rPr>
                <w:rFonts w:ascii=".VnTimeH" w:hAnsi=".VnTimeH"/>
                <w:b/>
                <w:lang w:val="vi-VN"/>
              </w:rPr>
            </w:pPr>
            <w:r w:rsidRPr="00674D1D">
              <w:rPr>
                <w:rFonts w:cs="Times New Roman"/>
                <w:b/>
                <w:lang w:val="vi-VN"/>
              </w:rPr>
              <w:t xml:space="preserve">TM. </w:t>
            </w:r>
            <w:r w:rsidR="00B005BA" w:rsidRPr="00674D1D">
              <w:rPr>
                <w:rFonts w:cs="Times New Roman"/>
                <w:b/>
                <w:lang w:val="vi-VN"/>
              </w:rPr>
              <w:t>ĐẠI HỘI ĐỒNG CỔ ĐÔNG</w:t>
            </w:r>
          </w:p>
          <w:p w14:paraId="23C0387E" w14:textId="77777777" w:rsidR="004D2C79" w:rsidRPr="00674D1D" w:rsidRDefault="00B005BA" w:rsidP="00916336">
            <w:pPr>
              <w:spacing w:line="360" w:lineRule="auto"/>
              <w:jc w:val="center"/>
              <w:rPr>
                <w:b/>
                <w:i/>
                <w:lang w:val="vi-VN"/>
              </w:rPr>
            </w:pPr>
            <w:r w:rsidRPr="00674D1D">
              <w:rPr>
                <w:b/>
                <w:i/>
                <w:lang w:val="vi-VN"/>
              </w:rPr>
              <w:t>Chủ tọa</w:t>
            </w:r>
          </w:p>
          <w:p w14:paraId="10A12108" w14:textId="77777777" w:rsidR="00D5210F" w:rsidRPr="00674D1D" w:rsidRDefault="00D5210F" w:rsidP="009A61D9">
            <w:pPr>
              <w:rPr>
                <w:lang w:val="vi-VN"/>
              </w:rPr>
            </w:pPr>
          </w:p>
          <w:p w14:paraId="107CDA52" w14:textId="1A7EE6FD" w:rsidR="0046124C" w:rsidRDefault="0046124C" w:rsidP="00916336">
            <w:pPr>
              <w:jc w:val="center"/>
              <w:rPr>
                <w:lang w:val="vi-VN"/>
              </w:rPr>
            </w:pPr>
          </w:p>
          <w:p w14:paraId="11702D30" w14:textId="4362D142" w:rsidR="001F691A" w:rsidRDefault="001F691A" w:rsidP="00916336">
            <w:pPr>
              <w:jc w:val="center"/>
              <w:rPr>
                <w:lang w:val="vi-VN"/>
              </w:rPr>
            </w:pPr>
          </w:p>
          <w:p w14:paraId="4102AFFC" w14:textId="1F263CAD" w:rsidR="001F691A" w:rsidRDefault="001F691A" w:rsidP="00916336">
            <w:pPr>
              <w:jc w:val="center"/>
              <w:rPr>
                <w:lang w:val="vi-VN"/>
              </w:rPr>
            </w:pPr>
          </w:p>
          <w:p w14:paraId="18F2826E" w14:textId="77777777" w:rsidR="001F691A" w:rsidRPr="00674D1D" w:rsidRDefault="001F691A" w:rsidP="00916336">
            <w:pPr>
              <w:jc w:val="center"/>
              <w:rPr>
                <w:lang w:val="vi-VN"/>
              </w:rPr>
            </w:pPr>
          </w:p>
          <w:p w14:paraId="20D027ED" w14:textId="48F1329A" w:rsidR="000B5E94" w:rsidRPr="001F691A" w:rsidRDefault="001F691A" w:rsidP="00916336">
            <w:pPr>
              <w:jc w:val="center"/>
              <w:rPr>
                <w:b/>
                <w:i/>
                <w:sz w:val="26"/>
                <w:szCs w:val="26"/>
              </w:rPr>
            </w:pPr>
            <w:r>
              <w:rPr>
                <w:b/>
                <w:i/>
              </w:rPr>
              <w:t>Đặng Hoàng Giang</w:t>
            </w:r>
          </w:p>
        </w:tc>
      </w:tr>
    </w:tbl>
    <w:p w14:paraId="2CF653FB" w14:textId="6DB95C49" w:rsidR="000A776C" w:rsidRDefault="000A776C" w:rsidP="00FD0BEA">
      <w:pPr>
        <w:pStyle w:val="Header"/>
        <w:tabs>
          <w:tab w:val="clear" w:pos="4320"/>
          <w:tab w:val="clear" w:pos="8640"/>
        </w:tabs>
        <w:rPr>
          <w:lang w:val="vi-VN"/>
        </w:rPr>
      </w:pPr>
    </w:p>
    <w:p w14:paraId="7B164EA2" w14:textId="77777777" w:rsidR="000A776C" w:rsidRDefault="000A776C">
      <w:pPr>
        <w:rPr>
          <w:lang w:val="vi-VN"/>
        </w:rPr>
      </w:pPr>
      <w:r>
        <w:rPr>
          <w:lang w:val="vi-VN"/>
        </w:rPr>
        <w:br w:type="page"/>
      </w:r>
    </w:p>
    <w:p w14:paraId="1F430842" w14:textId="77777777" w:rsidR="00927C45" w:rsidRDefault="00927C45" w:rsidP="00927C45">
      <w:pPr>
        <w:spacing w:after="120" w:line="276" w:lineRule="auto"/>
        <w:rPr>
          <w:rFonts w:cs="Times New Roman"/>
          <w:b/>
          <w:sz w:val="26"/>
          <w:szCs w:val="26"/>
        </w:rPr>
      </w:pPr>
      <w:r w:rsidRPr="00392BD3">
        <w:rPr>
          <w:rFonts w:cs="Times New Roman"/>
          <w:b/>
          <w:sz w:val="26"/>
          <w:szCs w:val="26"/>
        </w:rPr>
        <w:lastRenderedPageBreak/>
        <w:t>PHỤ LỤC 01: CHÀO BÁN BỔ SUNG CỔ PHIẾU</w:t>
      </w:r>
    </w:p>
    <w:p w14:paraId="69A08EA9" w14:textId="77777777" w:rsidR="00927C45" w:rsidRPr="00392BD3" w:rsidRDefault="00927C45" w:rsidP="00927C45">
      <w:pPr>
        <w:spacing w:after="120" w:line="276" w:lineRule="auto"/>
        <w:rPr>
          <w:rFonts w:cs="Times New Roman"/>
          <w:b/>
          <w:sz w:val="26"/>
          <w:szCs w:val="26"/>
        </w:rPr>
      </w:pPr>
      <w:r>
        <w:rPr>
          <w:rFonts w:cs="Times New Roman"/>
          <w:b/>
          <w:sz w:val="26"/>
          <w:szCs w:val="26"/>
        </w:rPr>
        <w:t>(Kèm theo nghị quyết Hội đồng cổ đông số 02-21/NQ/ĐHĐCĐ/HIPT</w:t>
      </w:r>
    </w:p>
    <w:p w14:paraId="4F8DDC8F" w14:textId="77777777" w:rsidR="00927C45" w:rsidRPr="00392BD3" w:rsidRDefault="00927C45" w:rsidP="00927C45">
      <w:pPr>
        <w:spacing w:after="120" w:line="276" w:lineRule="auto"/>
        <w:rPr>
          <w:rFonts w:cs="Times New Roman"/>
          <w:b/>
          <w:sz w:val="26"/>
          <w:szCs w:val="26"/>
        </w:rPr>
      </w:pPr>
    </w:p>
    <w:p w14:paraId="10533AC3" w14:textId="77777777" w:rsidR="00927C45" w:rsidRPr="00392BD3" w:rsidRDefault="00927C45" w:rsidP="00927C45">
      <w:pPr>
        <w:spacing w:after="120" w:line="276" w:lineRule="auto"/>
        <w:jc w:val="both"/>
        <w:rPr>
          <w:rFonts w:cs="Times New Roman"/>
          <w:b/>
          <w:bCs/>
          <w:sz w:val="26"/>
          <w:szCs w:val="26"/>
        </w:rPr>
      </w:pPr>
      <w:r w:rsidRPr="00392BD3">
        <w:rPr>
          <w:rFonts w:cs="Times New Roman"/>
          <w:b/>
          <w:sz w:val="26"/>
          <w:szCs w:val="26"/>
        </w:rPr>
        <w:t xml:space="preserve">I. Phương án </w:t>
      </w:r>
      <w:r>
        <w:rPr>
          <w:rFonts w:cs="Times New Roman"/>
          <w:b/>
          <w:sz w:val="26"/>
          <w:szCs w:val="26"/>
        </w:rPr>
        <w:t>phát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5489"/>
      </w:tblGrid>
      <w:tr w:rsidR="00927C45" w:rsidRPr="00392BD3" w14:paraId="24C619EE" w14:textId="77777777" w:rsidTr="009F589A">
        <w:tc>
          <w:tcPr>
            <w:tcW w:w="3402" w:type="dxa"/>
          </w:tcPr>
          <w:p w14:paraId="6401F207"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 Tên tổ chức phát hành</w:t>
            </w:r>
          </w:p>
        </w:tc>
        <w:tc>
          <w:tcPr>
            <w:tcW w:w="284" w:type="dxa"/>
          </w:tcPr>
          <w:p w14:paraId="39AED04F" w14:textId="77777777" w:rsidR="00927C45" w:rsidRPr="00392BD3" w:rsidRDefault="00927C45" w:rsidP="009F589A">
            <w:pPr>
              <w:spacing w:after="120" w:line="276" w:lineRule="auto"/>
              <w:jc w:val="both"/>
              <w:rPr>
                <w:rFonts w:cs="Times New Roman"/>
                <w:sz w:val="26"/>
                <w:szCs w:val="26"/>
              </w:rPr>
            </w:pPr>
          </w:p>
        </w:tc>
        <w:tc>
          <w:tcPr>
            <w:tcW w:w="5489" w:type="dxa"/>
          </w:tcPr>
          <w:p w14:paraId="027A3168"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Công ty cổ phần Tập đoàn HIPT</w:t>
            </w:r>
          </w:p>
        </w:tc>
      </w:tr>
      <w:tr w:rsidR="00927C45" w:rsidRPr="00392BD3" w14:paraId="757B3E18" w14:textId="77777777" w:rsidTr="009F589A">
        <w:tc>
          <w:tcPr>
            <w:tcW w:w="3402" w:type="dxa"/>
          </w:tcPr>
          <w:p w14:paraId="5EDD8D50"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 Tên cổ phiếu</w:t>
            </w:r>
          </w:p>
        </w:tc>
        <w:tc>
          <w:tcPr>
            <w:tcW w:w="284" w:type="dxa"/>
          </w:tcPr>
          <w:p w14:paraId="74831C56" w14:textId="77777777" w:rsidR="00927C45" w:rsidRPr="00392BD3" w:rsidRDefault="00927C45" w:rsidP="009F589A">
            <w:pPr>
              <w:spacing w:after="120" w:line="276" w:lineRule="auto"/>
              <w:jc w:val="both"/>
              <w:rPr>
                <w:rFonts w:cs="Times New Roman"/>
                <w:sz w:val="26"/>
                <w:szCs w:val="26"/>
              </w:rPr>
            </w:pPr>
          </w:p>
        </w:tc>
        <w:tc>
          <w:tcPr>
            <w:tcW w:w="5489" w:type="dxa"/>
          </w:tcPr>
          <w:p w14:paraId="64E30D1F"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Cổ phiếu Công ty cổ phần Tập đoàn HIPT</w:t>
            </w:r>
          </w:p>
        </w:tc>
      </w:tr>
      <w:tr w:rsidR="00927C45" w:rsidRPr="00392BD3" w14:paraId="0C8FB33B" w14:textId="77777777" w:rsidTr="009F589A">
        <w:tc>
          <w:tcPr>
            <w:tcW w:w="3402" w:type="dxa"/>
          </w:tcPr>
          <w:p w14:paraId="140A04C6"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3. Loại cổ phiếu chào bán</w:t>
            </w:r>
          </w:p>
        </w:tc>
        <w:tc>
          <w:tcPr>
            <w:tcW w:w="284" w:type="dxa"/>
          </w:tcPr>
          <w:p w14:paraId="5F65E2B0" w14:textId="77777777" w:rsidR="00927C45" w:rsidRPr="00392BD3" w:rsidRDefault="00927C45" w:rsidP="009F589A">
            <w:pPr>
              <w:spacing w:after="120" w:line="276" w:lineRule="auto"/>
              <w:jc w:val="both"/>
              <w:rPr>
                <w:rFonts w:cs="Times New Roman"/>
                <w:sz w:val="26"/>
                <w:szCs w:val="26"/>
              </w:rPr>
            </w:pPr>
          </w:p>
        </w:tc>
        <w:tc>
          <w:tcPr>
            <w:tcW w:w="5489" w:type="dxa"/>
          </w:tcPr>
          <w:p w14:paraId="62B67412"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Cổ phiếu phổ thông</w:t>
            </w:r>
          </w:p>
        </w:tc>
      </w:tr>
      <w:tr w:rsidR="00927C45" w:rsidRPr="00392BD3" w14:paraId="021D2CC9" w14:textId="77777777" w:rsidTr="009F589A">
        <w:tc>
          <w:tcPr>
            <w:tcW w:w="3402" w:type="dxa"/>
          </w:tcPr>
          <w:p w14:paraId="7FDB85FE"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4. Mệnh giá cổ phiếu</w:t>
            </w:r>
          </w:p>
        </w:tc>
        <w:tc>
          <w:tcPr>
            <w:tcW w:w="284" w:type="dxa"/>
          </w:tcPr>
          <w:p w14:paraId="23B05DE2" w14:textId="77777777" w:rsidR="00927C45" w:rsidRPr="00392BD3" w:rsidRDefault="00927C45" w:rsidP="009F589A">
            <w:pPr>
              <w:spacing w:after="120" w:line="276" w:lineRule="auto"/>
              <w:jc w:val="both"/>
              <w:rPr>
                <w:rFonts w:cs="Times New Roman"/>
                <w:sz w:val="26"/>
                <w:szCs w:val="26"/>
              </w:rPr>
            </w:pPr>
          </w:p>
        </w:tc>
        <w:tc>
          <w:tcPr>
            <w:tcW w:w="5489" w:type="dxa"/>
          </w:tcPr>
          <w:p w14:paraId="400E5D46"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10.000 (mười nghìn) đồng/Cổ phiếu</w:t>
            </w:r>
          </w:p>
        </w:tc>
      </w:tr>
      <w:tr w:rsidR="00927C45" w:rsidRPr="00392BD3" w14:paraId="0B9660F4" w14:textId="77777777" w:rsidTr="009F589A">
        <w:tc>
          <w:tcPr>
            <w:tcW w:w="3402" w:type="dxa"/>
          </w:tcPr>
          <w:p w14:paraId="344BD324" w14:textId="77777777" w:rsidR="00927C45" w:rsidRPr="00E95609" w:rsidRDefault="00927C45" w:rsidP="009F589A">
            <w:pPr>
              <w:spacing w:after="120" w:line="276" w:lineRule="auto"/>
              <w:rPr>
                <w:rFonts w:cs="Times New Roman"/>
                <w:sz w:val="26"/>
                <w:szCs w:val="26"/>
              </w:rPr>
            </w:pPr>
            <w:r w:rsidRPr="00E95609">
              <w:rPr>
                <w:rFonts w:cs="Times New Roman"/>
                <w:sz w:val="26"/>
                <w:szCs w:val="26"/>
              </w:rPr>
              <w:t>5. Tổng số lượng cổ phiếu đã phát hành</w:t>
            </w:r>
          </w:p>
        </w:tc>
        <w:tc>
          <w:tcPr>
            <w:tcW w:w="284" w:type="dxa"/>
          </w:tcPr>
          <w:p w14:paraId="5BEFE7CB" w14:textId="77777777" w:rsidR="00927C45" w:rsidRPr="00E95609" w:rsidRDefault="00927C45" w:rsidP="009F589A">
            <w:pPr>
              <w:spacing w:after="120" w:line="276" w:lineRule="auto"/>
              <w:jc w:val="both"/>
              <w:rPr>
                <w:rFonts w:cs="Times New Roman"/>
                <w:sz w:val="26"/>
                <w:szCs w:val="26"/>
              </w:rPr>
            </w:pPr>
          </w:p>
        </w:tc>
        <w:tc>
          <w:tcPr>
            <w:tcW w:w="5489" w:type="dxa"/>
          </w:tcPr>
          <w:p w14:paraId="1D9C2DD1" w14:textId="77777777" w:rsidR="00927C45" w:rsidRPr="00E95609" w:rsidRDefault="00927C45" w:rsidP="009F589A">
            <w:pPr>
              <w:spacing w:after="120" w:line="276" w:lineRule="auto"/>
              <w:jc w:val="right"/>
              <w:rPr>
                <w:rFonts w:cs="Times New Roman"/>
                <w:sz w:val="26"/>
                <w:szCs w:val="26"/>
              </w:rPr>
            </w:pPr>
            <w:r w:rsidRPr="00E95609">
              <w:rPr>
                <w:rFonts w:cs="Times New Roman"/>
                <w:sz w:val="26"/>
                <w:szCs w:val="26"/>
              </w:rPr>
              <w:t>22.559.030 cổ phiếu</w:t>
            </w:r>
          </w:p>
        </w:tc>
      </w:tr>
      <w:tr w:rsidR="00927C45" w:rsidRPr="00392BD3" w14:paraId="1FCF6C56" w14:textId="77777777" w:rsidTr="009F589A">
        <w:tc>
          <w:tcPr>
            <w:tcW w:w="3402" w:type="dxa"/>
          </w:tcPr>
          <w:p w14:paraId="231222B2" w14:textId="77777777" w:rsidR="00927C45" w:rsidRPr="00E95609" w:rsidRDefault="00927C45" w:rsidP="009F589A">
            <w:pPr>
              <w:spacing w:after="120" w:line="276" w:lineRule="auto"/>
              <w:rPr>
                <w:rFonts w:cs="Times New Roman"/>
                <w:sz w:val="26"/>
                <w:szCs w:val="26"/>
              </w:rPr>
            </w:pPr>
            <w:r w:rsidRPr="00E95609">
              <w:rPr>
                <w:sz w:val="26"/>
                <w:szCs w:val="26"/>
              </w:rPr>
              <w:t xml:space="preserve">6. Số lượng cổ phiếu đang lưu hành (dự kiến </w:t>
            </w:r>
            <w:r w:rsidRPr="00E95609">
              <w:rPr>
                <w:rStyle w:val="eop"/>
                <w:rFonts w:cs="Times New Roman"/>
                <w:color w:val="ED5C57"/>
                <w:sz w:val="26"/>
                <w:szCs w:val="26"/>
              </w:rPr>
              <w:t>tại thời điểm chốt danh sách cổ đông để phát hành)</w:t>
            </w:r>
          </w:p>
        </w:tc>
        <w:tc>
          <w:tcPr>
            <w:tcW w:w="284" w:type="dxa"/>
          </w:tcPr>
          <w:p w14:paraId="09C9C708" w14:textId="77777777" w:rsidR="00927C45" w:rsidRPr="00E95609" w:rsidRDefault="00927C45" w:rsidP="009F589A">
            <w:pPr>
              <w:spacing w:after="120" w:line="276" w:lineRule="auto"/>
              <w:jc w:val="both"/>
              <w:rPr>
                <w:rFonts w:cs="Times New Roman"/>
                <w:sz w:val="26"/>
                <w:szCs w:val="26"/>
              </w:rPr>
            </w:pPr>
          </w:p>
        </w:tc>
        <w:tc>
          <w:tcPr>
            <w:tcW w:w="5489" w:type="dxa"/>
          </w:tcPr>
          <w:p w14:paraId="1CE53282" w14:textId="77777777" w:rsidR="00927C45" w:rsidRPr="00E95609" w:rsidRDefault="00927C45" w:rsidP="009F589A">
            <w:pPr>
              <w:spacing w:after="120" w:line="276" w:lineRule="auto"/>
              <w:jc w:val="right"/>
              <w:rPr>
                <w:rFonts w:cs="Times New Roman"/>
                <w:sz w:val="26"/>
                <w:szCs w:val="26"/>
              </w:rPr>
            </w:pPr>
            <w:r w:rsidRPr="00E95609">
              <w:rPr>
                <w:rFonts w:cs="Times New Roman"/>
                <w:sz w:val="26"/>
                <w:szCs w:val="26"/>
              </w:rPr>
              <w:t>22.559.030 cổ phiếu</w:t>
            </w:r>
          </w:p>
        </w:tc>
      </w:tr>
      <w:tr w:rsidR="00927C45" w:rsidRPr="00392BD3" w14:paraId="1E6B7047" w14:textId="77777777" w:rsidTr="009F589A">
        <w:tc>
          <w:tcPr>
            <w:tcW w:w="3402" w:type="dxa"/>
          </w:tcPr>
          <w:p w14:paraId="737BE12D" w14:textId="77777777" w:rsidR="00927C45" w:rsidRPr="00E95609" w:rsidRDefault="00927C45" w:rsidP="009F589A">
            <w:pPr>
              <w:spacing w:after="120" w:line="276" w:lineRule="auto"/>
              <w:rPr>
                <w:rFonts w:cs="Times New Roman"/>
                <w:sz w:val="26"/>
                <w:szCs w:val="26"/>
              </w:rPr>
            </w:pPr>
            <w:r w:rsidRPr="00E95609">
              <w:rPr>
                <w:sz w:val="26"/>
                <w:szCs w:val="26"/>
              </w:rPr>
              <w:t xml:space="preserve">7. Số lượng cổ phiếu quỹ (dự kiến </w:t>
            </w:r>
            <w:r w:rsidRPr="00E95609">
              <w:rPr>
                <w:rStyle w:val="eop"/>
                <w:rFonts w:cs="Times New Roman"/>
                <w:color w:val="ED5C57"/>
                <w:sz w:val="26"/>
                <w:szCs w:val="26"/>
              </w:rPr>
              <w:t>tại thời điểm chốt danh sách cổ đông để phát hành)</w:t>
            </w:r>
          </w:p>
        </w:tc>
        <w:tc>
          <w:tcPr>
            <w:tcW w:w="284" w:type="dxa"/>
          </w:tcPr>
          <w:p w14:paraId="727A758E" w14:textId="77777777" w:rsidR="00927C45" w:rsidRPr="00E95609" w:rsidRDefault="00927C45" w:rsidP="009F589A">
            <w:pPr>
              <w:spacing w:after="120" w:line="276" w:lineRule="auto"/>
              <w:jc w:val="both"/>
              <w:rPr>
                <w:rFonts w:cs="Times New Roman"/>
                <w:sz w:val="26"/>
                <w:szCs w:val="26"/>
              </w:rPr>
            </w:pPr>
          </w:p>
        </w:tc>
        <w:tc>
          <w:tcPr>
            <w:tcW w:w="5489" w:type="dxa"/>
          </w:tcPr>
          <w:p w14:paraId="5EFCAC50" w14:textId="77777777" w:rsidR="00927C45" w:rsidRPr="00E95609" w:rsidRDefault="00927C45" w:rsidP="009F589A">
            <w:pPr>
              <w:spacing w:after="120" w:line="276" w:lineRule="auto"/>
              <w:jc w:val="right"/>
              <w:rPr>
                <w:rFonts w:cs="Times New Roman"/>
                <w:sz w:val="26"/>
                <w:szCs w:val="26"/>
              </w:rPr>
            </w:pPr>
            <w:r>
              <w:rPr>
                <w:rFonts w:cs="Times New Roman"/>
                <w:sz w:val="26"/>
                <w:szCs w:val="26"/>
              </w:rPr>
              <w:t>0</w:t>
            </w:r>
            <w:r w:rsidRPr="00E95609">
              <w:rPr>
                <w:rFonts w:cs="Times New Roman"/>
                <w:sz w:val="26"/>
                <w:szCs w:val="26"/>
              </w:rPr>
              <w:t xml:space="preserve"> cổ phiếu</w:t>
            </w:r>
          </w:p>
        </w:tc>
      </w:tr>
      <w:tr w:rsidR="00927C45" w:rsidRPr="00392BD3" w14:paraId="42F7B6EF" w14:textId="77777777" w:rsidTr="009F589A">
        <w:tc>
          <w:tcPr>
            <w:tcW w:w="3402" w:type="dxa"/>
          </w:tcPr>
          <w:p w14:paraId="1ABF06E6" w14:textId="77777777" w:rsidR="00927C45" w:rsidRPr="00E95609" w:rsidRDefault="00927C45" w:rsidP="009F589A">
            <w:pPr>
              <w:spacing w:after="120" w:line="276" w:lineRule="auto"/>
              <w:rPr>
                <w:rFonts w:cs="Times New Roman"/>
                <w:sz w:val="26"/>
                <w:szCs w:val="26"/>
              </w:rPr>
            </w:pPr>
            <w:r w:rsidRPr="00E95609">
              <w:rPr>
                <w:rFonts w:cs="Times New Roman"/>
                <w:sz w:val="26"/>
                <w:szCs w:val="26"/>
              </w:rPr>
              <w:t>8. Số lượng cổ phiếu dự kiến chào bán</w:t>
            </w:r>
          </w:p>
        </w:tc>
        <w:tc>
          <w:tcPr>
            <w:tcW w:w="284" w:type="dxa"/>
          </w:tcPr>
          <w:p w14:paraId="2D785463" w14:textId="77777777" w:rsidR="00927C45" w:rsidRPr="00E95609" w:rsidRDefault="00927C45" w:rsidP="009F589A">
            <w:pPr>
              <w:spacing w:after="120" w:line="276" w:lineRule="auto"/>
              <w:jc w:val="both"/>
              <w:rPr>
                <w:rFonts w:cs="Times New Roman"/>
                <w:sz w:val="26"/>
                <w:szCs w:val="26"/>
              </w:rPr>
            </w:pPr>
          </w:p>
        </w:tc>
        <w:tc>
          <w:tcPr>
            <w:tcW w:w="5489" w:type="dxa"/>
          </w:tcPr>
          <w:p w14:paraId="7C4A2198" w14:textId="77777777" w:rsidR="00927C45" w:rsidRPr="00E95609" w:rsidRDefault="00927C45" w:rsidP="009F589A">
            <w:pPr>
              <w:spacing w:after="120" w:line="276" w:lineRule="auto"/>
              <w:jc w:val="right"/>
              <w:rPr>
                <w:rFonts w:cs="Times New Roman"/>
                <w:sz w:val="26"/>
                <w:szCs w:val="26"/>
              </w:rPr>
            </w:pPr>
            <w:r w:rsidRPr="00E95609">
              <w:rPr>
                <w:rFonts w:cs="Times New Roman"/>
                <w:sz w:val="26"/>
                <w:szCs w:val="26"/>
              </w:rPr>
              <w:t>11.400.800 cổ phiếu</w:t>
            </w:r>
          </w:p>
        </w:tc>
      </w:tr>
      <w:tr w:rsidR="00927C45" w:rsidRPr="00392BD3" w14:paraId="3A5800BB" w14:textId="77777777" w:rsidTr="009F589A">
        <w:tc>
          <w:tcPr>
            <w:tcW w:w="3402" w:type="dxa"/>
          </w:tcPr>
          <w:p w14:paraId="3431CC43" w14:textId="77777777" w:rsidR="00927C45" w:rsidRPr="00E95609" w:rsidRDefault="00927C45" w:rsidP="009F589A">
            <w:pPr>
              <w:spacing w:after="120" w:line="276" w:lineRule="auto"/>
              <w:rPr>
                <w:rFonts w:cs="Times New Roman"/>
                <w:sz w:val="26"/>
                <w:szCs w:val="26"/>
              </w:rPr>
            </w:pPr>
            <w:r w:rsidRPr="00E95609">
              <w:rPr>
                <w:rFonts w:cs="Times New Roman"/>
                <w:sz w:val="26"/>
                <w:szCs w:val="26"/>
              </w:rPr>
              <w:t>9. Tổng giá trị cổ phiếu phát hành thêm dự kiến theo mệnh giá</w:t>
            </w:r>
          </w:p>
        </w:tc>
        <w:tc>
          <w:tcPr>
            <w:tcW w:w="284" w:type="dxa"/>
          </w:tcPr>
          <w:p w14:paraId="7575ED38" w14:textId="77777777" w:rsidR="00927C45" w:rsidRPr="00E95609" w:rsidRDefault="00927C45" w:rsidP="009F589A">
            <w:pPr>
              <w:spacing w:after="120" w:line="276" w:lineRule="auto"/>
              <w:jc w:val="both"/>
              <w:rPr>
                <w:rFonts w:cs="Times New Roman"/>
                <w:sz w:val="26"/>
                <w:szCs w:val="26"/>
              </w:rPr>
            </w:pPr>
          </w:p>
        </w:tc>
        <w:tc>
          <w:tcPr>
            <w:tcW w:w="5489" w:type="dxa"/>
          </w:tcPr>
          <w:p w14:paraId="481A771A" w14:textId="77777777" w:rsidR="00927C45" w:rsidRPr="00E95609" w:rsidRDefault="00927C45" w:rsidP="009F589A">
            <w:pPr>
              <w:spacing w:after="120" w:line="276" w:lineRule="auto"/>
              <w:jc w:val="right"/>
              <w:rPr>
                <w:rFonts w:cs="Times New Roman"/>
                <w:sz w:val="26"/>
                <w:szCs w:val="26"/>
              </w:rPr>
            </w:pPr>
            <w:r w:rsidRPr="00E95609">
              <w:rPr>
                <w:rFonts w:cs="Times New Roman"/>
                <w:sz w:val="26"/>
                <w:szCs w:val="26"/>
              </w:rPr>
              <w:t>114.008.000.000 VNĐ</w:t>
            </w:r>
          </w:p>
        </w:tc>
      </w:tr>
      <w:tr w:rsidR="00927C45" w:rsidRPr="00392BD3" w14:paraId="27835D08" w14:textId="77777777" w:rsidTr="009F589A">
        <w:tc>
          <w:tcPr>
            <w:tcW w:w="3402" w:type="dxa"/>
          </w:tcPr>
          <w:p w14:paraId="5D20C911"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 xml:space="preserve">10. Tổng số tiền </w:t>
            </w:r>
            <w:r>
              <w:rPr>
                <w:rFonts w:cs="Times New Roman"/>
                <w:sz w:val="26"/>
                <w:szCs w:val="26"/>
              </w:rPr>
              <w:t>dự kiến thu về</w:t>
            </w:r>
          </w:p>
        </w:tc>
        <w:tc>
          <w:tcPr>
            <w:tcW w:w="284" w:type="dxa"/>
          </w:tcPr>
          <w:p w14:paraId="4DCE87C9" w14:textId="77777777" w:rsidR="00927C45" w:rsidRPr="00392BD3" w:rsidRDefault="00927C45" w:rsidP="009F589A">
            <w:pPr>
              <w:spacing w:after="120" w:line="276" w:lineRule="auto"/>
              <w:jc w:val="both"/>
              <w:rPr>
                <w:rFonts w:cs="Times New Roman"/>
                <w:sz w:val="26"/>
                <w:szCs w:val="26"/>
              </w:rPr>
            </w:pPr>
          </w:p>
        </w:tc>
        <w:tc>
          <w:tcPr>
            <w:tcW w:w="5489" w:type="dxa"/>
          </w:tcPr>
          <w:p w14:paraId="073C1878"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91.206.400.000 VNĐ</w:t>
            </w:r>
          </w:p>
        </w:tc>
      </w:tr>
      <w:tr w:rsidR="00927C45" w:rsidRPr="00392BD3" w14:paraId="6425D6D1" w14:textId="77777777" w:rsidTr="009F589A">
        <w:tc>
          <w:tcPr>
            <w:tcW w:w="3402" w:type="dxa"/>
          </w:tcPr>
          <w:p w14:paraId="7594C08A"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11. Tỷ lệ phát hành</w:t>
            </w:r>
          </w:p>
        </w:tc>
        <w:tc>
          <w:tcPr>
            <w:tcW w:w="284" w:type="dxa"/>
          </w:tcPr>
          <w:p w14:paraId="66AB56A8" w14:textId="77777777" w:rsidR="00927C45" w:rsidRPr="00392BD3" w:rsidRDefault="00927C45" w:rsidP="009F589A">
            <w:pPr>
              <w:spacing w:after="120" w:line="276" w:lineRule="auto"/>
              <w:jc w:val="both"/>
              <w:rPr>
                <w:rFonts w:cs="Times New Roman"/>
                <w:sz w:val="26"/>
                <w:szCs w:val="26"/>
              </w:rPr>
            </w:pPr>
          </w:p>
        </w:tc>
        <w:tc>
          <w:tcPr>
            <w:tcW w:w="5489" w:type="dxa"/>
          </w:tcPr>
          <w:p w14:paraId="562853DB"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186:94 (là tỷ lệ giữa số lượng cổ phiếu đang lưu hành tại ngày chốt danh sách cổ đông để thực hiện quyền mua cổ phiếu phát hành với số lượng cổ phiếu dự kiến phát hành thêm).</w:t>
            </w:r>
          </w:p>
        </w:tc>
      </w:tr>
      <w:tr w:rsidR="00927C45" w:rsidRPr="00392BD3" w14:paraId="31ADC0BE" w14:textId="77777777" w:rsidTr="009F589A">
        <w:tc>
          <w:tcPr>
            <w:tcW w:w="3402" w:type="dxa"/>
          </w:tcPr>
          <w:p w14:paraId="1AAEFD19"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12. Giá chào bán dự kiến</w:t>
            </w:r>
          </w:p>
        </w:tc>
        <w:tc>
          <w:tcPr>
            <w:tcW w:w="284" w:type="dxa"/>
          </w:tcPr>
          <w:p w14:paraId="46307482" w14:textId="77777777" w:rsidR="00927C45" w:rsidRPr="00392BD3" w:rsidRDefault="00927C45" w:rsidP="009F589A">
            <w:pPr>
              <w:spacing w:after="120" w:line="276" w:lineRule="auto"/>
              <w:jc w:val="both"/>
              <w:rPr>
                <w:rFonts w:cs="Times New Roman"/>
                <w:sz w:val="26"/>
                <w:szCs w:val="26"/>
              </w:rPr>
            </w:pPr>
          </w:p>
        </w:tc>
        <w:tc>
          <w:tcPr>
            <w:tcW w:w="5489" w:type="dxa"/>
          </w:tcPr>
          <w:p w14:paraId="4BF2838E"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8.000 VNĐ/cổ phiếu</w:t>
            </w:r>
          </w:p>
        </w:tc>
      </w:tr>
      <w:tr w:rsidR="00927C45" w:rsidRPr="00392BD3" w14:paraId="5A0CC087" w14:textId="77777777" w:rsidTr="009F589A">
        <w:tc>
          <w:tcPr>
            <w:tcW w:w="3402" w:type="dxa"/>
          </w:tcPr>
          <w:p w14:paraId="71C810E9"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13. Nguyên tắc và căn cứ xác định giá chào bán</w:t>
            </w:r>
          </w:p>
        </w:tc>
        <w:tc>
          <w:tcPr>
            <w:tcW w:w="284" w:type="dxa"/>
          </w:tcPr>
          <w:p w14:paraId="233DBD52" w14:textId="77777777" w:rsidR="00927C45" w:rsidRPr="00392BD3" w:rsidRDefault="00927C45" w:rsidP="009F589A">
            <w:pPr>
              <w:spacing w:after="120" w:line="276" w:lineRule="auto"/>
              <w:jc w:val="both"/>
              <w:rPr>
                <w:rFonts w:cs="Times New Roman"/>
                <w:sz w:val="26"/>
                <w:szCs w:val="26"/>
              </w:rPr>
            </w:pPr>
          </w:p>
        </w:tc>
        <w:tc>
          <w:tcPr>
            <w:tcW w:w="5489" w:type="dxa"/>
          </w:tcPr>
          <w:p w14:paraId="1294C43D" w14:textId="77777777" w:rsidR="00927C45" w:rsidRDefault="00927C45" w:rsidP="009F589A">
            <w:pPr>
              <w:spacing w:after="120" w:line="276" w:lineRule="auto"/>
              <w:jc w:val="both"/>
              <w:rPr>
                <w:rFonts w:cs="Times New Roman"/>
                <w:sz w:val="26"/>
                <w:szCs w:val="26"/>
              </w:rPr>
            </w:pPr>
            <w:r>
              <w:rPr>
                <w:rFonts w:cs="Times New Roman"/>
                <w:sz w:val="26"/>
                <w:szCs w:val="26"/>
              </w:rPr>
              <w:t>Giá chào bán là 8.000/VNĐ một cổ phiếu.</w:t>
            </w:r>
          </w:p>
          <w:p w14:paraId="70391CA4"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Phần chênh lệch giữa giá chào bán với mệnh giá được bù bởi phần thặng dư vốn cổ phần của Công ty. Hiện nay được ghi nhận là 116.974.517.100 VNĐ.</w:t>
            </w:r>
          </w:p>
        </w:tc>
      </w:tr>
      <w:tr w:rsidR="00927C45" w:rsidRPr="00392BD3" w14:paraId="287B12E0" w14:textId="77777777" w:rsidTr="009F589A">
        <w:tc>
          <w:tcPr>
            <w:tcW w:w="3402" w:type="dxa"/>
          </w:tcPr>
          <w:p w14:paraId="3642EC1C"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14. Đối tượng chào bán</w:t>
            </w:r>
          </w:p>
        </w:tc>
        <w:tc>
          <w:tcPr>
            <w:tcW w:w="284" w:type="dxa"/>
          </w:tcPr>
          <w:p w14:paraId="4068CBAF" w14:textId="77777777" w:rsidR="00927C45" w:rsidRPr="00392BD3" w:rsidRDefault="00927C45" w:rsidP="009F589A">
            <w:pPr>
              <w:spacing w:after="120" w:line="276" w:lineRule="auto"/>
              <w:jc w:val="both"/>
              <w:rPr>
                <w:rFonts w:cs="Times New Roman"/>
                <w:sz w:val="26"/>
                <w:szCs w:val="26"/>
              </w:rPr>
            </w:pPr>
          </w:p>
        </w:tc>
        <w:tc>
          <w:tcPr>
            <w:tcW w:w="5489" w:type="dxa"/>
          </w:tcPr>
          <w:p w14:paraId="0F5AC66E"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 xml:space="preserve">Cổ đông hiện hữu có tên trong danh sách cổ đông tại ngày đăng ký cuối cùng chốt danh sách cổ đông </w:t>
            </w:r>
            <w:r w:rsidRPr="00392BD3">
              <w:rPr>
                <w:rFonts w:cs="Times New Roman"/>
                <w:sz w:val="26"/>
                <w:szCs w:val="26"/>
              </w:rPr>
              <w:lastRenderedPageBreak/>
              <w:t>để thực hiện quyền mua cổ phiếu phát hành thêm do Trung tâm lưu ký chứng khoán Việt Nam lập. Cổ phiếu quỹ (nếu có) không được thực hiện quyền mua cổ phiếu mới.</w:t>
            </w:r>
          </w:p>
        </w:tc>
      </w:tr>
      <w:tr w:rsidR="00927C45" w:rsidRPr="00392BD3" w14:paraId="7518C82E" w14:textId="77777777" w:rsidTr="009F589A">
        <w:tc>
          <w:tcPr>
            <w:tcW w:w="3402" w:type="dxa"/>
          </w:tcPr>
          <w:p w14:paraId="148FD599"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lastRenderedPageBreak/>
              <w:t>15. Phương thức chào bán</w:t>
            </w:r>
          </w:p>
        </w:tc>
        <w:tc>
          <w:tcPr>
            <w:tcW w:w="284" w:type="dxa"/>
          </w:tcPr>
          <w:p w14:paraId="6D02073A" w14:textId="77777777" w:rsidR="00927C45" w:rsidRPr="00392BD3" w:rsidRDefault="00927C45" w:rsidP="009F589A">
            <w:pPr>
              <w:spacing w:after="120" w:line="276" w:lineRule="auto"/>
              <w:jc w:val="both"/>
              <w:rPr>
                <w:rFonts w:cs="Times New Roman"/>
                <w:sz w:val="26"/>
                <w:szCs w:val="26"/>
              </w:rPr>
            </w:pPr>
          </w:p>
        </w:tc>
        <w:tc>
          <w:tcPr>
            <w:tcW w:w="5489" w:type="dxa"/>
          </w:tcPr>
          <w:p w14:paraId="01DC2234"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Chào bán cho cổ đông hiện hữu theo phương thức thực hiện quyền.</w:t>
            </w:r>
          </w:p>
        </w:tc>
      </w:tr>
      <w:tr w:rsidR="00927C45" w:rsidRPr="00392BD3" w14:paraId="53AD56B0" w14:textId="77777777" w:rsidTr="009F589A">
        <w:tc>
          <w:tcPr>
            <w:tcW w:w="3402" w:type="dxa"/>
          </w:tcPr>
          <w:p w14:paraId="52C47BC2"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16. Tỷ lệ thực hiện quyền</w:t>
            </w:r>
          </w:p>
        </w:tc>
        <w:tc>
          <w:tcPr>
            <w:tcW w:w="284" w:type="dxa"/>
          </w:tcPr>
          <w:p w14:paraId="56CC935F" w14:textId="77777777" w:rsidR="00927C45" w:rsidRPr="00392BD3" w:rsidRDefault="00927C45" w:rsidP="009F589A">
            <w:pPr>
              <w:spacing w:after="120" w:line="276" w:lineRule="auto"/>
              <w:jc w:val="both"/>
              <w:rPr>
                <w:rFonts w:cs="Times New Roman"/>
                <w:sz w:val="26"/>
                <w:szCs w:val="26"/>
              </w:rPr>
            </w:pPr>
          </w:p>
        </w:tc>
        <w:tc>
          <w:tcPr>
            <w:tcW w:w="5489" w:type="dxa"/>
          </w:tcPr>
          <w:p w14:paraId="013E91CF"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186:94, trung bình cổ đông sở hữu 186 cổ phiếu sẽ có 94 quyền mua, 01 quyền mua được mua 01 cổ phiếu phát hành thêm. Số lượng cổ phiếu phát hành được làm tròn xuống đến hàng đơn vị.</w:t>
            </w:r>
          </w:p>
          <w:p w14:paraId="586C740F" w14:textId="77777777" w:rsidR="00927C45" w:rsidRPr="00392BD3" w:rsidRDefault="00927C45" w:rsidP="009F589A">
            <w:pPr>
              <w:spacing w:after="120" w:line="276" w:lineRule="auto"/>
              <w:jc w:val="both"/>
              <w:rPr>
                <w:rFonts w:cs="Times New Roman"/>
                <w:i/>
                <w:iCs/>
                <w:sz w:val="26"/>
                <w:szCs w:val="26"/>
              </w:rPr>
            </w:pPr>
            <w:r w:rsidRPr="00392BD3">
              <w:rPr>
                <w:rFonts w:cs="Times New Roman"/>
                <w:i/>
                <w:iCs/>
                <w:sz w:val="26"/>
                <w:szCs w:val="26"/>
              </w:rPr>
              <w:t>Ví dụ: Tại ngày chốt danh sách cổ đông để thực hiện quyền mua cổ phiếu, cổ đông A sở hữu 200 cổ phiếu. Với tỷ lệ thực hiện quyền là 186:94, cổ đông A nhận được 200*94/186=101,07 quyền mua. Theo nguyên tắc làm tròn xuống, số lượng quyền tương đương với số lượng cổ phiếu được quyền mua thêm của cổ đông A là 101 cổ phiếu.</w:t>
            </w:r>
          </w:p>
        </w:tc>
      </w:tr>
      <w:tr w:rsidR="00927C45" w:rsidRPr="00392BD3" w14:paraId="22453F3A" w14:textId="77777777" w:rsidTr="009F589A">
        <w:tc>
          <w:tcPr>
            <w:tcW w:w="3402" w:type="dxa"/>
          </w:tcPr>
          <w:p w14:paraId="3BE3912E"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17. Thời gian thực hiện</w:t>
            </w:r>
          </w:p>
        </w:tc>
        <w:tc>
          <w:tcPr>
            <w:tcW w:w="284" w:type="dxa"/>
          </w:tcPr>
          <w:p w14:paraId="24455320" w14:textId="77777777" w:rsidR="00927C45" w:rsidRPr="00392BD3" w:rsidRDefault="00927C45" w:rsidP="009F589A">
            <w:pPr>
              <w:spacing w:after="120" w:line="276" w:lineRule="auto"/>
              <w:jc w:val="both"/>
              <w:rPr>
                <w:rFonts w:cs="Times New Roman"/>
                <w:sz w:val="26"/>
                <w:szCs w:val="26"/>
              </w:rPr>
            </w:pPr>
          </w:p>
        </w:tc>
        <w:tc>
          <w:tcPr>
            <w:tcW w:w="5489" w:type="dxa"/>
          </w:tcPr>
          <w:p w14:paraId="1292BC0F"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Trong năm 2021 hoặc đầu năm 2022 sau khi có chấp thuận của Ủy ban Chứng khoán Nhà nước</w:t>
            </w:r>
          </w:p>
        </w:tc>
      </w:tr>
      <w:tr w:rsidR="00927C45" w:rsidRPr="00392BD3" w14:paraId="055C4E0B" w14:textId="77777777" w:rsidTr="009F589A">
        <w:tc>
          <w:tcPr>
            <w:tcW w:w="3402" w:type="dxa"/>
          </w:tcPr>
          <w:p w14:paraId="55975B40"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18. Chuyển nhượng quyền mua</w:t>
            </w:r>
          </w:p>
        </w:tc>
        <w:tc>
          <w:tcPr>
            <w:tcW w:w="284" w:type="dxa"/>
          </w:tcPr>
          <w:p w14:paraId="2A949585" w14:textId="77777777" w:rsidR="00927C45" w:rsidRPr="00392BD3" w:rsidRDefault="00927C45" w:rsidP="009F589A">
            <w:pPr>
              <w:spacing w:after="120" w:line="276" w:lineRule="auto"/>
              <w:jc w:val="both"/>
              <w:rPr>
                <w:rFonts w:cs="Times New Roman"/>
                <w:sz w:val="26"/>
                <w:szCs w:val="26"/>
              </w:rPr>
            </w:pPr>
          </w:p>
        </w:tc>
        <w:tc>
          <w:tcPr>
            <w:tcW w:w="5489" w:type="dxa"/>
          </w:tcPr>
          <w:p w14:paraId="2138DF0B"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 xml:space="preserve">Cho </w:t>
            </w:r>
            <w:r>
              <w:rPr>
                <w:rFonts w:cs="Times New Roman"/>
                <w:sz w:val="26"/>
                <w:szCs w:val="26"/>
              </w:rPr>
              <w:t xml:space="preserve">phép </w:t>
            </w:r>
            <w:r w:rsidRPr="00392BD3">
              <w:rPr>
                <w:rFonts w:cs="Times New Roman"/>
                <w:sz w:val="26"/>
                <w:szCs w:val="26"/>
              </w:rPr>
              <w:t>Cổ đông được phép chuyển nhượng quyền mua của mình cho người khác trong thời gian quy định nhưng chỉ được chuyển nhượng một lần (người nhận chuyển nhượng quyền mua sẽ không được chuyển nhượng cho người thứ ba). Bên chuyển nhượng và bên nhận chuyển nhượng tự thỏa thuận mức giá chuyển nhượng, thanh toán và chịu trách nhiệm thực hiện các nghĩa vụ theo quy định liên quan đến việc chuyển nhượng.</w:t>
            </w:r>
          </w:p>
          <w:p w14:paraId="1DD166AA"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Ví dụ: Vào ngày chốt danh sách, cổ đông A sở hữu 100 cổ phiếu sẽ được hưởng 100 quyền mua. Cổ đông A có thể chuyển nhượng 100 quyền mua cho nhà đầu tư B. Nhà đầu tư B không được chuyển nhượng lại quyền mua cho người thứ ba.</w:t>
            </w:r>
          </w:p>
        </w:tc>
      </w:tr>
      <w:tr w:rsidR="00927C45" w:rsidRPr="00392BD3" w14:paraId="41A8F84D" w14:textId="77777777" w:rsidTr="009F589A">
        <w:tc>
          <w:tcPr>
            <w:tcW w:w="3402" w:type="dxa"/>
          </w:tcPr>
          <w:p w14:paraId="412ABE02"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19. Phương án xử lý cổ phiếu lẻ và cổ phiếu chưa phân phối hết (nếu có)</w:t>
            </w:r>
          </w:p>
        </w:tc>
        <w:tc>
          <w:tcPr>
            <w:tcW w:w="284" w:type="dxa"/>
          </w:tcPr>
          <w:p w14:paraId="1FC82D8B" w14:textId="77777777" w:rsidR="00927C45" w:rsidRPr="00392BD3" w:rsidRDefault="00927C45" w:rsidP="009F589A">
            <w:pPr>
              <w:spacing w:after="120" w:line="276" w:lineRule="auto"/>
              <w:jc w:val="both"/>
              <w:rPr>
                <w:rFonts w:cs="Times New Roman"/>
                <w:sz w:val="26"/>
                <w:szCs w:val="26"/>
              </w:rPr>
            </w:pPr>
          </w:p>
        </w:tc>
        <w:tc>
          <w:tcPr>
            <w:tcW w:w="5489" w:type="dxa"/>
          </w:tcPr>
          <w:p w14:paraId="5D87E6AA"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Giao và ủy quyền cho Hội đồng quản trị</w:t>
            </w:r>
            <w:r>
              <w:rPr>
                <w:rFonts w:cs="Times New Roman"/>
                <w:sz w:val="26"/>
                <w:szCs w:val="26"/>
              </w:rPr>
              <w:t xml:space="preserve"> (HĐQT)</w:t>
            </w:r>
            <w:r w:rsidRPr="00392BD3">
              <w:rPr>
                <w:rFonts w:cs="Times New Roman"/>
                <w:sz w:val="26"/>
                <w:szCs w:val="26"/>
              </w:rPr>
              <w:t xml:space="preserve"> quyết định việc chào bán số cổ phiếu bao gồm cổ phiếu lẻ phát sinh do làm tròn xuống và số cổ phiếu không phân phối hết do cổ đông hiện hữu không thực hiện quyền mua cho nhà đầu tư/cổ đông khác trên nguyên tắc giá bán không thấp hơn giá chào </w:t>
            </w:r>
            <w:r w:rsidRPr="00392BD3">
              <w:rPr>
                <w:rFonts w:cs="Times New Roman"/>
                <w:sz w:val="26"/>
                <w:szCs w:val="26"/>
              </w:rPr>
              <w:lastRenderedPageBreak/>
              <w:t>bán cho cổ đông hiện hữu theo phương thức thực hiện quyền.</w:t>
            </w:r>
          </w:p>
        </w:tc>
      </w:tr>
      <w:tr w:rsidR="00927C45" w:rsidRPr="00392BD3" w14:paraId="5DF7F46A" w14:textId="77777777" w:rsidTr="009F589A">
        <w:tc>
          <w:tcPr>
            <w:tcW w:w="3402" w:type="dxa"/>
          </w:tcPr>
          <w:p w14:paraId="0A4A7512"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lastRenderedPageBreak/>
              <w:t>20. Đảm bảo đáp ứng quy định về tỷ lệ sở hữu nước ngoài</w:t>
            </w:r>
          </w:p>
        </w:tc>
        <w:tc>
          <w:tcPr>
            <w:tcW w:w="284" w:type="dxa"/>
          </w:tcPr>
          <w:p w14:paraId="6579F7DF" w14:textId="77777777" w:rsidR="00927C45" w:rsidRPr="00392BD3" w:rsidRDefault="00927C45" w:rsidP="009F589A">
            <w:pPr>
              <w:spacing w:after="120" w:line="276" w:lineRule="auto"/>
              <w:jc w:val="both"/>
              <w:rPr>
                <w:rFonts w:cs="Times New Roman"/>
                <w:sz w:val="26"/>
                <w:szCs w:val="26"/>
              </w:rPr>
            </w:pPr>
          </w:p>
        </w:tc>
        <w:tc>
          <w:tcPr>
            <w:tcW w:w="5489" w:type="dxa"/>
          </w:tcPr>
          <w:p w14:paraId="13271908"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 xml:space="preserve">Giao và ủy quyền cho </w:t>
            </w:r>
            <w:r>
              <w:rPr>
                <w:rFonts w:cs="Times New Roman"/>
                <w:sz w:val="26"/>
                <w:szCs w:val="26"/>
              </w:rPr>
              <w:t>HĐQT</w:t>
            </w:r>
            <w:r w:rsidRPr="00392BD3">
              <w:rPr>
                <w:rFonts w:cs="Times New Roman"/>
                <w:sz w:val="26"/>
                <w:szCs w:val="26"/>
              </w:rPr>
              <w:t xml:space="preserve"> thông qua phương án đảm bảo việc phát hành cổ phiếu đáp ứng quy định về tỷ lệ sở hữu nước ngoài.</w:t>
            </w:r>
          </w:p>
        </w:tc>
      </w:tr>
      <w:tr w:rsidR="00927C45" w:rsidRPr="00392BD3" w14:paraId="02BEBA65" w14:textId="77777777" w:rsidTr="009F589A">
        <w:tc>
          <w:tcPr>
            <w:tcW w:w="3402" w:type="dxa"/>
          </w:tcPr>
          <w:p w14:paraId="0C685C4E"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21. Chào mua công khai</w:t>
            </w:r>
          </w:p>
        </w:tc>
        <w:tc>
          <w:tcPr>
            <w:tcW w:w="284" w:type="dxa"/>
          </w:tcPr>
          <w:p w14:paraId="1AA9CEFD" w14:textId="77777777" w:rsidR="00927C45" w:rsidRPr="00392BD3" w:rsidRDefault="00927C45" w:rsidP="009F589A">
            <w:pPr>
              <w:spacing w:after="120" w:line="276" w:lineRule="auto"/>
              <w:jc w:val="both"/>
              <w:rPr>
                <w:rFonts w:cs="Times New Roman"/>
                <w:sz w:val="26"/>
                <w:szCs w:val="26"/>
              </w:rPr>
            </w:pPr>
          </w:p>
        </w:tc>
        <w:tc>
          <w:tcPr>
            <w:tcW w:w="5489" w:type="dxa"/>
          </w:tcPr>
          <w:p w14:paraId="7F7691A7"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 xml:space="preserve">Đồng ý cho cổ đông/nhà đầu tư được </w:t>
            </w:r>
            <w:r>
              <w:rPr>
                <w:rFonts w:cs="Times New Roman"/>
                <w:sz w:val="26"/>
                <w:szCs w:val="26"/>
              </w:rPr>
              <w:t>HĐQT</w:t>
            </w:r>
            <w:r w:rsidRPr="00392BD3">
              <w:rPr>
                <w:rFonts w:cs="Times New Roman"/>
                <w:sz w:val="26"/>
                <w:szCs w:val="26"/>
              </w:rPr>
              <w:t xml:space="preserve"> lựa chọn khi thực hiện mua số cổ phiếu mà các cổ đông hiện hữu không thực hiện quyền mua sẽ không phải thực hiện thủ tục chào mua công khai theo quy định của Luật chứng khoán nếu việc mua số lượng đó dẫn đến tỷ lệ sở hữu đạt hoặc vượt các tỷ lệ sở hữu quy định tại khoản 1 điều 35 luật chứng khoán.</w:t>
            </w:r>
          </w:p>
        </w:tc>
      </w:tr>
      <w:tr w:rsidR="00927C45" w:rsidRPr="00392BD3" w14:paraId="36782A90" w14:textId="77777777" w:rsidTr="009F589A">
        <w:tc>
          <w:tcPr>
            <w:tcW w:w="3402" w:type="dxa"/>
          </w:tcPr>
          <w:p w14:paraId="6A015894"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22. Mục đích chào bán</w:t>
            </w:r>
          </w:p>
        </w:tc>
        <w:tc>
          <w:tcPr>
            <w:tcW w:w="284" w:type="dxa"/>
          </w:tcPr>
          <w:p w14:paraId="50B02632" w14:textId="77777777" w:rsidR="00927C45" w:rsidRPr="00392BD3" w:rsidRDefault="00927C45" w:rsidP="009F589A">
            <w:pPr>
              <w:spacing w:after="120" w:line="276" w:lineRule="auto"/>
              <w:jc w:val="both"/>
              <w:rPr>
                <w:rFonts w:cs="Times New Roman"/>
                <w:sz w:val="26"/>
                <w:szCs w:val="26"/>
              </w:rPr>
            </w:pPr>
          </w:p>
        </w:tc>
        <w:tc>
          <w:tcPr>
            <w:tcW w:w="5489" w:type="dxa"/>
          </w:tcPr>
          <w:p w14:paraId="10B62362"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Chào bán thêm nhằm mục đích xúc tiến các khoản đầu tư của Công ty.</w:t>
            </w:r>
          </w:p>
        </w:tc>
      </w:tr>
      <w:tr w:rsidR="00927C45" w:rsidRPr="00392BD3" w14:paraId="4998BA34" w14:textId="77777777" w:rsidTr="009F589A">
        <w:tc>
          <w:tcPr>
            <w:tcW w:w="3402" w:type="dxa"/>
          </w:tcPr>
          <w:p w14:paraId="3B05A67D"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23. Tỷ lệ chào bán thành công tối thiểu</w:t>
            </w:r>
          </w:p>
        </w:tc>
        <w:tc>
          <w:tcPr>
            <w:tcW w:w="284" w:type="dxa"/>
          </w:tcPr>
          <w:p w14:paraId="62D0CA85" w14:textId="77777777" w:rsidR="00927C45" w:rsidRPr="00392BD3" w:rsidRDefault="00927C45" w:rsidP="009F589A">
            <w:pPr>
              <w:spacing w:after="120" w:line="276" w:lineRule="auto"/>
              <w:jc w:val="both"/>
              <w:rPr>
                <w:rFonts w:cs="Times New Roman"/>
                <w:sz w:val="26"/>
                <w:szCs w:val="26"/>
              </w:rPr>
            </w:pPr>
          </w:p>
        </w:tc>
        <w:tc>
          <w:tcPr>
            <w:tcW w:w="5489" w:type="dxa"/>
          </w:tcPr>
          <w:p w14:paraId="7EF64A99"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Không quy định. Trong trường hợp không phân phối hết, ĐHCĐ ủy quyền cho HĐQT quyết định việc chào bán số cổ phiếu không phân phối hết theo nội dung tại điều 19.</w:t>
            </w:r>
          </w:p>
        </w:tc>
      </w:tr>
      <w:tr w:rsidR="00927C45" w:rsidRPr="00392BD3" w14:paraId="75A9EDBA" w14:textId="77777777" w:rsidTr="009F589A">
        <w:tc>
          <w:tcPr>
            <w:tcW w:w="3402" w:type="dxa"/>
          </w:tcPr>
          <w:p w14:paraId="032C4904"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24. Phương án xử lý trong trường hợp chào bán cổ phiếu không thành công như dự kiến</w:t>
            </w:r>
          </w:p>
        </w:tc>
        <w:tc>
          <w:tcPr>
            <w:tcW w:w="284" w:type="dxa"/>
          </w:tcPr>
          <w:p w14:paraId="54F9D60D" w14:textId="77777777" w:rsidR="00927C45" w:rsidRPr="00392BD3" w:rsidRDefault="00927C45" w:rsidP="009F589A">
            <w:pPr>
              <w:spacing w:after="120" w:line="276" w:lineRule="auto"/>
              <w:jc w:val="both"/>
              <w:rPr>
                <w:rFonts w:cs="Times New Roman"/>
                <w:sz w:val="26"/>
                <w:szCs w:val="26"/>
              </w:rPr>
            </w:pPr>
          </w:p>
        </w:tc>
        <w:tc>
          <w:tcPr>
            <w:tcW w:w="5489" w:type="dxa"/>
          </w:tcPr>
          <w:p w14:paraId="0F958207"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Trong trường hợp số cổ phiếu đăng ký chào bán không phân phối hết theo dự kiến và số lượng vốn huy động không đạt đủ như dự kiến, ĐHCĐ ủy quyền cho HĐQT cân nhắc bổ sung nguồn vốn còn thiếu thông qua hình thức huy động khác như vay các tổ chức tín dụng hoặc từ các tổ chức/cá nhân khác phù hợp với quy định của pháp luật.</w:t>
            </w:r>
          </w:p>
        </w:tc>
      </w:tr>
      <w:tr w:rsidR="00927C45" w:rsidRPr="00392BD3" w14:paraId="6C544B0B" w14:textId="77777777" w:rsidTr="009F589A">
        <w:tc>
          <w:tcPr>
            <w:tcW w:w="3402" w:type="dxa"/>
          </w:tcPr>
          <w:p w14:paraId="1311F8B3"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25. Đánh giá mức độ pha loãng cổ phiếu dự kiến sau khi phát hành</w:t>
            </w:r>
          </w:p>
        </w:tc>
        <w:tc>
          <w:tcPr>
            <w:tcW w:w="284" w:type="dxa"/>
          </w:tcPr>
          <w:p w14:paraId="337EB5E2" w14:textId="77777777" w:rsidR="00927C45" w:rsidRPr="00392BD3" w:rsidRDefault="00927C45" w:rsidP="009F589A">
            <w:pPr>
              <w:spacing w:after="120" w:line="276" w:lineRule="auto"/>
              <w:jc w:val="both"/>
              <w:rPr>
                <w:rFonts w:cs="Times New Roman"/>
                <w:sz w:val="26"/>
                <w:szCs w:val="26"/>
              </w:rPr>
            </w:pPr>
          </w:p>
        </w:tc>
        <w:tc>
          <w:tcPr>
            <w:tcW w:w="5489" w:type="dxa"/>
          </w:tcPr>
          <w:p w14:paraId="1F146430"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Khi phát hành cổ phiếu cho cổ đông hiện hữu có thể xuất hiện rủi ro pha loãng cổ phiếu dự kiến sau phát hành, bao gồm: (1) pha loãng thu nhập trên mỗi cổ phiếu; (2) pha loãng giá trị sổ sách trên mỗi cổ phiếu; (3) pha loãng tỷ lệ nắm giữ và quyền biểu quyết; (4) pha loãng giá tham chiếu tại ngày giao dịch không hưởng quyền mua cổ phiếu phát hành thêm. Ủy quyền cho HĐQT căn cứ theo điều kiện thực tế tại thời điểm tổ chức thực hiện việc phát hành để đưa ra đánh giá cụ thể về mức độ pha loãng cổ phiếu dự kiến sau khi phát hành.</w:t>
            </w:r>
          </w:p>
        </w:tc>
      </w:tr>
      <w:tr w:rsidR="00927C45" w:rsidRPr="00392BD3" w14:paraId="3A4B62E8" w14:textId="77777777" w:rsidTr="009F589A">
        <w:tc>
          <w:tcPr>
            <w:tcW w:w="3402" w:type="dxa"/>
          </w:tcPr>
          <w:p w14:paraId="78CFDB61" w14:textId="77777777" w:rsidR="00927C45" w:rsidRPr="00392BD3" w:rsidRDefault="00927C45" w:rsidP="009F589A">
            <w:pPr>
              <w:spacing w:after="120" w:line="276" w:lineRule="auto"/>
              <w:rPr>
                <w:rFonts w:cs="Times New Roman"/>
                <w:sz w:val="26"/>
                <w:szCs w:val="26"/>
              </w:rPr>
            </w:pPr>
            <w:r w:rsidRPr="00392BD3">
              <w:rPr>
                <w:rFonts w:cs="Times New Roman"/>
                <w:sz w:val="26"/>
                <w:szCs w:val="26"/>
              </w:rPr>
              <w:t>26. Hạn chế chuyển nhượng</w:t>
            </w:r>
          </w:p>
        </w:tc>
        <w:tc>
          <w:tcPr>
            <w:tcW w:w="284" w:type="dxa"/>
          </w:tcPr>
          <w:p w14:paraId="59201824" w14:textId="77777777" w:rsidR="00927C45" w:rsidRPr="00392BD3" w:rsidRDefault="00927C45" w:rsidP="009F589A">
            <w:pPr>
              <w:spacing w:after="120" w:line="276" w:lineRule="auto"/>
              <w:jc w:val="both"/>
              <w:rPr>
                <w:rFonts w:cs="Times New Roman"/>
                <w:sz w:val="26"/>
                <w:szCs w:val="26"/>
              </w:rPr>
            </w:pPr>
          </w:p>
        </w:tc>
        <w:tc>
          <w:tcPr>
            <w:tcW w:w="5489" w:type="dxa"/>
          </w:tcPr>
          <w:p w14:paraId="3F4AF951"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Cổ phiếu chào bán thêm không bị hạn chế chuyển nhượng.</w:t>
            </w:r>
          </w:p>
        </w:tc>
      </w:tr>
    </w:tbl>
    <w:p w14:paraId="791E26E2" w14:textId="77777777" w:rsidR="00927C45" w:rsidRPr="00392BD3" w:rsidRDefault="00927C45" w:rsidP="00927C45">
      <w:pPr>
        <w:spacing w:after="120" w:line="276" w:lineRule="auto"/>
        <w:jc w:val="both"/>
        <w:rPr>
          <w:rFonts w:cs="Times New Roman"/>
          <w:sz w:val="26"/>
          <w:szCs w:val="26"/>
        </w:rPr>
      </w:pPr>
    </w:p>
    <w:p w14:paraId="14C6ACAE" w14:textId="77777777" w:rsidR="00927C45" w:rsidRPr="00392BD3" w:rsidRDefault="00927C45" w:rsidP="00927C45">
      <w:pPr>
        <w:spacing w:after="120" w:line="276" w:lineRule="auto"/>
        <w:jc w:val="both"/>
        <w:rPr>
          <w:rFonts w:cs="Times New Roman"/>
          <w:b/>
          <w:bCs/>
          <w:sz w:val="26"/>
          <w:szCs w:val="26"/>
        </w:rPr>
      </w:pPr>
      <w:r w:rsidRPr="00392BD3">
        <w:rPr>
          <w:rFonts w:cs="Times New Roman"/>
          <w:b/>
          <w:sz w:val="26"/>
          <w:szCs w:val="26"/>
        </w:rPr>
        <w:lastRenderedPageBreak/>
        <w:t>II. Phương án sử dụng vốn thu được từ đợt chào bán</w:t>
      </w:r>
    </w:p>
    <w:p w14:paraId="24DB5D5D"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Số tiền dự kiến thu được từ đợt chào bán cổ phiếu ra công chúng cho cổ đông hiện hữu sẽ được phân bổ sử dụng để đầu tư cho các dự án đầu tư của Công ty.</w:t>
      </w:r>
    </w:p>
    <w:p w14:paraId="0E997D93"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Tổng số tiền dự kiến thu được từ đợt chào bán là 91.206.400.860 VNĐ</w:t>
      </w:r>
    </w:p>
    <w:tbl>
      <w:tblPr>
        <w:tblStyle w:val="TableGrid"/>
        <w:tblW w:w="5000" w:type="pct"/>
        <w:tblLook w:val="04A0" w:firstRow="1" w:lastRow="0" w:firstColumn="1" w:lastColumn="0" w:noHBand="0" w:noVBand="1"/>
      </w:tblPr>
      <w:tblGrid>
        <w:gridCol w:w="987"/>
        <w:gridCol w:w="5670"/>
        <w:gridCol w:w="2518"/>
      </w:tblGrid>
      <w:tr w:rsidR="00927C45" w:rsidRPr="00392BD3" w14:paraId="3326FCA3" w14:textId="77777777" w:rsidTr="009F589A">
        <w:tc>
          <w:tcPr>
            <w:tcW w:w="538" w:type="pct"/>
          </w:tcPr>
          <w:p w14:paraId="31731A23" w14:textId="77777777" w:rsidR="00927C45" w:rsidRPr="00392BD3" w:rsidRDefault="00927C45" w:rsidP="009F589A">
            <w:pPr>
              <w:spacing w:after="120" w:line="276" w:lineRule="auto"/>
              <w:jc w:val="center"/>
              <w:rPr>
                <w:rFonts w:cs="Times New Roman"/>
                <w:b/>
                <w:bCs/>
                <w:sz w:val="26"/>
                <w:szCs w:val="26"/>
              </w:rPr>
            </w:pPr>
            <w:r w:rsidRPr="00392BD3">
              <w:rPr>
                <w:rFonts w:cs="Times New Roman"/>
                <w:b/>
                <w:sz w:val="26"/>
                <w:szCs w:val="26"/>
              </w:rPr>
              <w:t>STT</w:t>
            </w:r>
          </w:p>
        </w:tc>
        <w:tc>
          <w:tcPr>
            <w:tcW w:w="3090" w:type="pct"/>
          </w:tcPr>
          <w:p w14:paraId="27BE9139" w14:textId="77777777" w:rsidR="00927C45" w:rsidRPr="00392BD3" w:rsidRDefault="00927C45" w:rsidP="009F589A">
            <w:pPr>
              <w:spacing w:after="120" w:line="276" w:lineRule="auto"/>
              <w:jc w:val="center"/>
              <w:rPr>
                <w:rFonts w:cs="Times New Roman"/>
                <w:b/>
                <w:bCs/>
                <w:sz w:val="26"/>
                <w:szCs w:val="26"/>
              </w:rPr>
            </w:pPr>
            <w:r w:rsidRPr="00392BD3">
              <w:rPr>
                <w:rFonts w:cs="Times New Roman"/>
                <w:b/>
                <w:sz w:val="26"/>
                <w:szCs w:val="26"/>
              </w:rPr>
              <w:t>Mục đích sử dụng vốn</w:t>
            </w:r>
          </w:p>
        </w:tc>
        <w:tc>
          <w:tcPr>
            <w:tcW w:w="1372" w:type="pct"/>
          </w:tcPr>
          <w:p w14:paraId="54D60FBF" w14:textId="77777777" w:rsidR="00927C45" w:rsidRPr="00392BD3" w:rsidRDefault="00927C45" w:rsidP="009F589A">
            <w:pPr>
              <w:spacing w:after="120" w:line="276" w:lineRule="auto"/>
              <w:jc w:val="center"/>
              <w:rPr>
                <w:rFonts w:cs="Times New Roman"/>
                <w:b/>
                <w:bCs/>
                <w:sz w:val="26"/>
                <w:szCs w:val="26"/>
              </w:rPr>
            </w:pPr>
            <w:r w:rsidRPr="00392BD3">
              <w:rPr>
                <w:rFonts w:cs="Times New Roman"/>
                <w:b/>
                <w:sz w:val="26"/>
                <w:szCs w:val="26"/>
              </w:rPr>
              <w:t>Giá trị (VNĐ)</w:t>
            </w:r>
          </w:p>
        </w:tc>
      </w:tr>
      <w:tr w:rsidR="00927C45" w:rsidRPr="00392BD3" w14:paraId="4BFEBDEF" w14:textId="77777777" w:rsidTr="009F589A">
        <w:tc>
          <w:tcPr>
            <w:tcW w:w="538" w:type="pct"/>
          </w:tcPr>
          <w:p w14:paraId="79B6C26B" w14:textId="77777777" w:rsidR="00927C45" w:rsidRPr="00392BD3" w:rsidRDefault="00927C45" w:rsidP="009F589A">
            <w:pPr>
              <w:spacing w:after="120" w:line="276" w:lineRule="auto"/>
              <w:jc w:val="center"/>
              <w:rPr>
                <w:rFonts w:cs="Times New Roman"/>
                <w:sz w:val="26"/>
                <w:szCs w:val="26"/>
              </w:rPr>
            </w:pPr>
            <w:r w:rsidRPr="00392BD3">
              <w:rPr>
                <w:rFonts w:cs="Times New Roman"/>
                <w:sz w:val="26"/>
                <w:szCs w:val="26"/>
              </w:rPr>
              <w:t>1</w:t>
            </w:r>
          </w:p>
        </w:tc>
        <w:tc>
          <w:tcPr>
            <w:tcW w:w="3090" w:type="pct"/>
          </w:tcPr>
          <w:p w14:paraId="734D6E77"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Đầu tư Bất động sản, bao gồm Bất động sản phục vụ trụ sở mới của Công ty</w:t>
            </w:r>
          </w:p>
        </w:tc>
        <w:tc>
          <w:tcPr>
            <w:tcW w:w="1372" w:type="pct"/>
          </w:tcPr>
          <w:p w14:paraId="7C93C523"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91.000.000.000</w:t>
            </w:r>
          </w:p>
        </w:tc>
      </w:tr>
      <w:tr w:rsidR="00927C45" w:rsidRPr="00392BD3" w14:paraId="78660245" w14:textId="77777777" w:rsidTr="009F589A">
        <w:tc>
          <w:tcPr>
            <w:tcW w:w="538" w:type="pct"/>
          </w:tcPr>
          <w:p w14:paraId="06C95B29" w14:textId="77777777" w:rsidR="00927C45" w:rsidRPr="00392BD3" w:rsidRDefault="00927C45" w:rsidP="009F589A">
            <w:pPr>
              <w:spacing w:after="120" w:line="276" w:lineRule="auto"/>
              <w:jc w:val="center"/>
              <w:rPr>
                <w:rFonts w:cs="Times New Roman"/>
                <w:sz w:val="26"/>
                <w:szCs w:val="26"/>
              </w:rPr>
            </w:pPr>
            <w:r w:rsidRPr="00392BD3">
              <w:rPr>
                <w:rFonts w:cs="Times New Roman"/>
                <w:sz w:val="26"/>
                <w:szCs w:val="26"/>
              </w:rPr>
              <w:t>2</w:t>
            </w:r>
          </w:p>
        </w:tc>
        <w:tc>
          <w:tcPr>
            <w:tcW w:w="3090" w:type="pct"/>
          </w:tcPr>
          <w:p w14:paraId="75BAE57E" w14:textId="77777777" w:rsidR="00927C45" w:rsidRPr="00392BD3" w:rsidRDefault="00927C45" w:rsidP="009F589A">
            <w:pPr>
              <w:spacing w:after="120" w:line="276" w:lineRule="auto"/>
              <w:jc w:val="both"/>
              <w:rPr>
                <w:rFonts w:cs="Times New Roman"/>
                <w:sz w:val="26"/>
                <w:szCs w:val="26"/>
              </w:rPr>
            </w:pPr>
            <w:r w:rsidRPr="00392BD3">
              <w:rPr>
                <w:rFonts w:cs="Times New Roman"/>
                <w:sz w:val="26"/>
                <w:szCs w:val="26"/>
              </w:rPr>
              <w:t xml:space="preserve">Chi phí </w:t>
            </w:r>
            <w:r>
              <w:rPr>
                <w:rFonts w:cs="Times New Roman"/>
                <w:sz w:val="26"/>
                <w:szCs w:val="26"/>
              </w:rPr>
              <w:t>quản lý</w:t>
            </w:r>
            <w:r w:rsidRPr="00392BD3">
              <w:rPr>
                <w:rFonts w:cs="Times New Roman"/>
                <w:sz w:val="26"/>
                <w:szCs w:val="26"/>
              </w:rPr>
              <w:t xml:space="preserve"> phục vụ đầu tư Bất động sản</w:t>
            </w:r>
          </w:p>
        </w:tc>
        <w:tc>
          <w:tcPr>
            <w:tcW w:w="1372" w:type="pct"/>
          </w:tcPr>
          <w:p w14:paraId="1E031C6B" w14:textId="77777777" w:rsidR="00927C45" w:rsidRPr="00392BD3" w:rsidRDefault="00927C45" w:rsidP="009F589A">
            <w:pPr>
              <w:spacing w:after="120" w:line="276" w:lineRule="auto"/>
              <w:jc w:val="right"/>
              <w:rPr>
                <w:rFonts w:cs="Times New Roman"/>
                <w:sz w:val="26"/>
                <w:szCs w:val="26"/>
              </w:rPr>
            </w:pPr>
            <w:r w:rsidRPr="00392BD3">
              <w:rPr>
                <w:rFonts w:cs="Times New Roman"/>
                <w:sz w:val="26"/>
                <w:szCs w:val="26"/>
              </w:rPr>
              <w:t>206.400.860</w:t>
            </w:r>
          </w:p>
        </w:tc>
      </w:tr>
    </w:tbl>
    <w:p w14:paraId="7C720341" w14:textId="77777777" w:rsidR="00927C45" w:rsidRPr="00392BD3" w:rsidRDefault="00927C45" w:rsidP="00927C45">
      <w:pPr>
        <w:spacing w:after="120" w:line="276" w:lineRule="auto"/>
        <w:jc w:val="both"/>
        <w:rPr>
          <w:rFonts w:cs="Times New Roman"/>
          <w:sz w:val="26"/>
          <w:szCs w:val="26"/>
        </w:rPr>
      </w:pPr>
    </w:p>
    <w:p w14:paraId="3CF3CDEC" w14:textId="77777777" w:rsidR="00927C45" w:rsidRPr="00392BD3" w:rsidRDefault="00927C45" w:rsidP="00927C45">
      <w:pPr>
        <w:spacing w:after="120" w:line="276" w:lineRule="auto"/>
        <w:jc w:val="both"/>
        <w:rPr>
          <w:rFonts w:cs="Times New Roman"/>
          <w:b/>
          <w:bCs/>
          <w:sz w:val="26"/>
          <w:szCs w:val="26"/>
        </w:rPr>
      </w:pPr>
      <w:r w:rsidRPr="00392BD3">
        <w:rPr>
          <w:rFonts w:cs="Times New Roman"/>
          <w:b/>
          <w:sz w:val="26"/>
          <w:szCs w:val="26"/>
        </w:rPr>
        <w:t>III. Đăng ký lưu ký và đăng ký bổ sung toàn bộ số cổ phiếu chào bán thêm</w:t>
      </w:r>
    </w:p>
    <w:p w14:paraId="702FB391"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Toàn bộ số cổ phiếu chào bán thêm sẽ được đăng ký lưu ký và đăng ký bổ sung với Trung tâm Lưu ký Chứng khoán Việt Nam và Sở Giao dịch Chứng khoán thành phố Hà Nội theo quy định.</w:t>
      </w:r>
    </w:p>
    <w:p w14:paraId="7108C3E6" w14:textId="77777777" w:rsidR="00927C45" w:rsidRPr="00392BD3" w:rsidRDefault="00927C45" w:rsidP="00927C45">
      <w:pPr>
        <w:spacing w:after="120" w:line="276" w:lineRule="auto"/>
        <w:jc w:val="both"/>
        <w:rPr>
          <w:rFonts w:cs="Times New Roman"/>
          <w:sz w:val="26"/>
          <w:szCs w:val="26"/>
        </w:rPr>
      </w:pPr>
    </w:p>
    <w:p w14:paraId="78504311" w14:textId="77777777" w:rsidR="00927C45" w:rsidRPr="00392BD3" w:rsidRDefault="00927C45" w:rsidP="00927C45">
      <w:pPr>
        <w:spacing w:after="120" w:line="276" w:lineRule="auto"/>
        <w:jc w:val="both"/>
        <w:rPr>
          <w:rFonts w:cs="Times New Roman"/>
          <w:b/>
          <w:bCs/>
          <w:sz w:val="26"/>
          <w:szCs w:val="26"/>
        </w:rPr>
      </w:pPr>
      <w:r w:rsidRPr="00392BD3">
        <w:rPr>
          <w:rFonts w:cs="Times New Roman"/>
          <w:b/>
          <w:sz w:val="26"/>
          <w:szCs w:val="26"/>
        </w:rPr>
        <w:t>IV. Ủy quyền cho Hội đồng quản trị</w:t>
      </w:r>
    </w:p>
    <w:p w14:paraId="3A29CE66"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Ngoài các vấn đề ủy quyền cho </w:t>
      </w:r>
      <w:r>
        <w:rPr>
          <w:rFonts w:cs="Times New Roman"/>
          <w:sz w:val="26"/>
          <w:szCs w:val="26"/>
        </w:rPr>
        <w:t>HĐQT</w:t>
      </w:r>
      <w:r w:rsidRPr="00392BD3">
        <w:rPr>
          <w:rFonts w:cs="Times New Roman"/>
          <w:sz w:val="26"/>
          <w:szCs w:val="26"/>
        </w:rPr>
        <w:t xml:space="preserve"> được nêu cụ thể tại mục </w:t>
      </w:r>
      <w:r>
        <w:rPr>
          <w:rFonts w:cs="Times New Roman"/>
          <w:sz w:val="26"/>
          <w:szCs w:val="26"/>
        </w:rPr>
        <w:t>II</w:t>
      </w:r>
      <w:r w:rsidRPr="00392BD3">
        <w:rPr>
          <w:rFonts w:cs="Times New Roman"/>
          <w:sz w:val="26"/>
          <w:szCs w:val="26"/>
        </w:rPr>
        <w:t>, Đại hội đồng cổ đông đồng thời ủy quyền cho HĐQT một số nội dung như sau:</w:t>
      </w:r>
    </w:p>
    <w:p w14:paraId="70DFF632"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Thực hiện các thủ tục cần thiết để đăng ký chào bán cổ phiếu với Ủy ban Chứng khoán Nhà nước (UBCKNN) và sửa đổi, bổ sung hồ sơ đăng ký chào bán theo yêu cầu của UBCKNN (nếu cần</w:t>
      </w:r>
      <w:proofErr w:type="gramStart"/>
      <w:r w:rsidRPr="00392BD3">
        <w:rPr>
          <w:rFonts w:cs="Times New Roman"/>
          <w:sz w:val="26"/>
          <w:szCs w:val="26"/>
        </w:rPr>
        <w:t>);</w:t>
      </w:r>
      <w:proofErr w:type="gramEnd"/>
    </w:p>
    <w:p w14:paraId="5AF4BF85"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 Quy định cụ thể phương án phát hành cổ phiếu và/hoặc sửa đổi, bổ sung Phương án phát hành cổ phiếu khi thực hiện thủ tục đăng ký chào bán cổ phiếu hoặc khi thấy cần thiết căn cứ theo tình hình thực tế của Công ty và thị trường chứng khoán tại thời điểm phát hành để đảm bảo đợt phát hành được thành </w:t>
      </w:r>
      <w:proofErr w:type="gramStart"/>
      <w:r w:rsidRPr="00392BD3">
        <w:rPr>
          <w:rFonts w:cs="Times New Roman"/>
          <w:sz w:val="26"/>
          <w:szCs w:val="26"/>
        </w:rPr>
        <w:t>công;</w:t>
      </w:r>
      <w:proofErr w:type="gramEnd"/>
    </w:p>
    <w:p w14:paraId="7A6425C2"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 Xây dựng phương án sử dụng vốn chi tiết và thay đổi phương án sử dụng vốn trong trường hợp cần thiết. HĐQT sẽ công bố thông tin và báo cáo UBCKNN và Đại hội đồng cổ đông gần nhất việc thay đổi mục đích sử dụng vốn theo quy định pháp </w:t>
      </w:r>
      <w:proofErr w:type="gramStart"/>
      <w:r w:rsidRPr="00392BD3">
        <w:rPr>
          <w:rFonts w:cs="Times New Roman"/>
          <w:sz w:val="26"/>
          <w:szCs w:val="26"/>
        </w:rPr>
        <w:t>luật;</w:t>
      </w:r>
      <w:proofErr w:type="gramEnd"/>
    </w:p>
    <w:p w14:paraId="6F097883"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 Lựa chọn thời điểm thích hợp để triển khai phương án chào bán sau khi UBCKNN ra thông báo nhận được đầy đủ hồ sơ đăng ký chào bán cổ </w:t>
      </w:r>
      <w:proofErr w:type="gramStart"/>
      <w:r w:rsidRPr="00392BD3">
        <w:rPr>
          <w:rFonts w:cs="Times New Roman"/>
          <w:sz w:val="26"/>
          <w:szCs w:val="26"/>
        </w:rPr>
        <w:t>phiếu;</w:t>
      </w:r>
      <w:proofErr w:type="gramEnd"/>
    </w:p>
    <w:p w14:paraId="59612F4D"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Thực hiện việc xử lý cổ phiếu không phân phối hết (nếu có</w:t>
      </w:r>
      <w:proofErr w:type="gramStart"/>
      <w:r w:rsidRPr="00392BD3">
        <w:rPr>
          <w:rFonts w:cs="Times New Roman"/>
          <w:sz w:val="26"/>
          <w:szCs w:val="26"/>
        </w:rPr>
        <w:t>);</w:t>
      </w:r>
      <w:proofErr w:type="gramEnd"/>
    </w:p>
    <w:p w14:paraId="0060849A"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 Quyết định và thực hiện các công việc và thủ tục có liên quan để thực hiện việc chào bán và báo cáo kết quả với </w:t>
      </w:r>
      <w:proofErr w:type="gramStart"/>
      <w:r w:rsidRPr="00392BD3">
        <w:rPr>
          <w:rFonts w:cs="Times New Roman"/>
          <w:sz w:val="26"/>
          <w:szCs w:val="26"/>
        </w:rPr>
        <w:t>UBCKNN;</w:t>
      </w:r>
      <w:proofErr w:type="gramEnd"/>
    </w:p>
    <w:p w14:paraId="11CBC371"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 Quyết định và thực hiện tất cả các công việc, thủ tục cần thiết liên quan đến việc: (1) thay đổi mức vốn điều lệ, sửa đổi/bổ sung điều khoản quy định về mức vốn điều lệ trong Điều lệ Công ty; và (2) sửa đổi bổ sung Giấy phép hoạt động kinh doanh của Công ty tại Ủy ban chứng khoán Nhà nước; và (3) đăng ký thay đổi Giấy chứng nhận đăng ký doanh </w:t>
      </w:r>
      <w:r w:rsidRPr="00392BD3">
        <w:rPr>
          <w:rFonts w:cs="Times New Roman"/>
          <w:sz w:val="26"/>
          <w:szCs w:val="26"/>
        </w:rPr>
        <w:lastRenderedPageBreak/>
        <w:t>nghiệp/đăng ký kinh doanh của Công ty; và (4) đăng ký, lưu ký bổ sung cổ phiếu của Công ty tại Trung tâm lưu ký chứng khoán Việt Nam/Tổng công ty lưu ký và bù trừng chứng khoán Việt Nam; và (</w:t>
      </w:r>
      <w:r>
        <w:rPr>
          <w:rFonts w:cs="Times New Roman"/>
          <w:sz w:val="26"/>
          <w:szCs w:val="26"/>
        </w:rPr>
        <w:t>5</w:t>
      </w:r>
      <w:r w:rsidRPr="00392BD3">
        <w:rPr>
          <w:rFonts w:cs="Times New Roman"/>
          <w:sz w:val="26"/>
          <w:szCs w:val="26"/>
        </w:rPr>
        <w:t>) đăng ký bổ sung cổ phiếu của Công ty trên Sở giao dịch chứng khoán.</w:t>
      </w:r>
    </w:p>
    <w:p w14:paraId="51158212" w14:textId="77777777" w:rsidR="00927C45" w:rsidRPr="00392BD3" w:rsidRDefault="00927C45" w:rsidP="00927C45">
      <w:pPr>
        <w:spacing w:after="120" w:line="276" w:lineRule="auto"/>
        <w:jc w:val="both"/>
        <w:rPr>
          <w:rFonts w:cs="Times New Roman"/>
          <w:sz w:val="26"/>
          <w:szCs w:val="26"/>
        </w:rPr>
      </w:pPr>
      <w:r w:rsidRPr="00392BD3">
        <w:rPr>
          <w:rFonts w:cs="Times New Roman"/>
          <w:sz w:val="26"/>
          <w:szCs w:val="26"/>
        </w:rPr>
        <w:t xml:space="preserve">- Thực hiện các công việc cần thiết khác để hoàn tất đợt chào </w:t>
      </w:r>
      <w:proofErr w:type="gramStart"/>
      <w:r w:rsidRPr="00392BD3">
        <w:rPr>
          <w:rFonts w:cs="Times New Roman"/>
          <w:sz w:val="26"/>
          <w:szCs w:val="26"/>
        </w:rPr>
        <w:t>bán;</w:t>
      </w:r>
      <w:proofErr w:type="gramEnd"/>
    </w:p>
    <w:p w14:paraId="21D7C550" w14:textId="77777777" w:rsidR="00D97494" w:rsidRPr="00BF3CC7" w:rsidRDefault="00D97494" w:rsidP="00FD0BEA">
      <w:pPr>
        <w:pStyle w:val="Header"/>
        <w:tabs>
          <w:tab w:val="clear" w:pos="4320"/>
          <w:tab w:val="clear" w:pos="8640"/>
        </w:tabs>
        <w:rPr>
          <w:lang w:val="vi-VN"/>
        </w:rPr>
      </w:pPr>
    </w:p>
    <w:sectPr w:rsidR="00D97494" w:rsidRPr="00BF3CC7" w:rsidSect="003C47A6">
      <w:headerReference w:type="default" r:id="rId10"/>
      <w:footerReference w:type="default" r:id="rId11"/>
      <w:footerReference w:type="first" r:id="rId12"/>
      <w:type w:val="continuous"/>
      <w:pgSz w:w="11907" w:h="16840" w:code="9"/>
      <w:pgMar w:top="1134" w:right="1021" w:bottom="1134" w:left="1701" w:header="397"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5151" w14:textId="77777777" w:rsidR="00B045BC" w:rsidRDefault="00B045BC">
      <w:pPr>
        <w:pStyle w:val="Header"/>
      </w:pPr>
      <w:r>
        <w:separator/>
      </w:r>
    </w:p>
  </w:endnote>
  <w:endnote w:type="continuationSeparator" w:id="0">
    <w:p w14:paraId="4402F14B" w14:textId="77777777" w:rsidR="00B045BC" w:rsidRDefault="00B045B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Courier New"/>
    <w:panose1 w:val="020B0604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819108"/>
      <w:docPartObj>
        <w:docPartGallery w:val="Page Numbers (Bottom of Page)"/>
        <w:docPartUnique/>
      </w:docPartObj>
    </w:sdtPr>
    <w:sdtEndPr>
      <w:rPr>
        <w:noProof/>
        <w:sz w:val="24"/>
        <w:szCs w:val="24"/>
      </w:rPr>
    </w:sdtEndPr>
    <w:sdtContent>
      <w:p w14:paraId="431CC59F" w14:textId="52E1AEFB" w:rsidR="003C47A6" w:rsidRPr="003C47A6" w:rsidRDefault="003C47A6">
        <w:pPr>
          <w:pStyle w:val="Footer"/>
          <w:jc w:val="center"/>
          <w:rPr>
            <w:sz w:val="24"/>
            <w:szCs w:val="24"/>
          </w:rPr>
        </w:pPr>
        <w:r w:rsidRPr="003C47A6">
          <w:rPr>
            <w:sz w:val="24"/>
            <w:szCs w:val="24"/>
          </w:rPr>
          <w:fldChar w:fldCharType="begin"/>
        </w:r>
        <w:r w:rsidRPr="003C47A6">
          <w:rPr>
            <w:sz w:val="24"/>
            <w:szCs w:val="24"/>
          </w:rPr>
          <w:instrText xml:space="preserve"> PAGE   \* MERGEFORMAT </w:instrText>
        </w:r>
        <w:r w:rsidRPr="003C47A6">
          <w:rPr>
            <w:sz w:val="24"/>
            <w:szCs w:val="24"/>
          </w:rPr>
          <w:fldChar w:fldCharType="separate"/>
        </w:r>
        <w:r w:rsidRPr="003C47A6">
          <w:rPr>
            <w:noProof/>
            <w:sz w:val="24"/>
            <w:szCs w:val="24"/>
          </w:rPr>
          <w:t>2</w:t>
        </w:r>
        <w:r w:rsidRPr="003C47A6">
          <w:rPr>
            <w:noProof/>
            <w:sz w:val="24"/>
            <w:szCs w:val="24"/>
          </w:rPr>
          <w:fldChar w:fldCharType="end"/>
        </w:r>
      </w:p>
    </w:sdtContent>
  </w:sdt>
  <w:p w14:paraId="14DF5D1E" w14:textId="77777777" w:rsidR="003C47A6" w:rsidRDefault="003C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860800"/>
      <w:docPartObj>
        <w:docPartGallery w:val="Page Numbers (Bottom of Page)"/>
        <w:docPartUnique/>
      </w:docPartObj>
    </w:sdtPr>
    <w:sdtEndPr>
      <w:rPr>
        <w:noProof/>
      </w:rPr>
    </w:sdtEndPr>
    <w:sdtContent>
      <w:p w14:paraId="09357A14" w14:textId="017CF182" w:rsidR="003C47A6" w:rsidRDefault="003C4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2BA64" w14:textId="77777777" w:rsidR="003C47A6" w:rsidRDefault="003C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4F47" w14:textId="77777777" w:rsidR="00B045BC" w:rsidRDefault="00B045BC">
      <w:pPr>
        <w:pStyle w:val="Header"/>
      </w:pPr>
      <w:r>
        <w:separator/>
      </w:r>
    </w:p>
  </w:footnote>
  <w:footnote w:type="continuationSeparator" w:id="0">
    <w:p w14:paraId="4891F16F" w14:textId="77777777" w:rsidR="00B045BC" w:rsidRDefault="00B045B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B52" w14:textId="29A6622E" w:rsidR="00D932B7" w:rsidRPr="00674D1D" w:rsidRDefault="00D932B7" w:rsidP="003C47A6">
    <w:pPr>
      <w:pStyle w:val="Header"/>
      <w:rPr>
        <w:sz w:val="24"/>
        <w:szCs w:val="24"/>
      </w:rPr>
    </w:pPr>
  </w:p>
  <w:p w14:paraId="26B543EB" w14:textId="77777777" w:rsidR="00D932B7" w:rsidRDefault="00D93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9AE6D80C"/>
    <w:lvl w:ilvl="0" w:tplc="55867B38">
      <w:start w:val="1"/>
      <w:numFmt w:val="bullet"/>
      <w:suff w:val="space"/>
      <w:lvlText w:val="-"/>
      <w:lvlJc w:val="left"/>
      <w:pPr>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6E0E"/>
    <w:multiLevelType w:val="hybridMultilevel"/>
    <w:tmpl w:val="9FE6D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1890"/>
    <w:multiLevelType w:val="hybridMultilevel"/>
    <w:tmpl w:val="EB62CCFA"/>
    <w:lvl w:ilvl="0" w:tplc="8DE86092">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4B11"/>
    <w:multiLevelType w:val="hybridMultilevel"/>
    <w:tmpl w:val="2C646A98"/>
    <w:lvl w:ilvl="0" w:tplc="F1921534">
      <w:start w:val="1"/>
      <w:numFmt w:val="bullet"/>
      <w:lvlText w:val=""/>
      <w:lvlJc w:val="left"/>
      <w:pPr>
        <w:ind w:left="1440" w:hanging="360"/>
      </w:pPr>
      <w:rPr>
        <w:rFonts w:ascii="Symbol" w:hAnsi="Symbol" w:hint="default"/>
      </w:rPr>
    </w:lvl>
    <w:lvl w:ilvl="1" w:tplc="8228CDDA" w:tentative="1">
      <w:start w:val="1"/>
      <w:numFmt w:val="bullet"/>
      <w:lvlText w:val="o"/>
      <w:lvlJc w:val="left"/>
      <w:pPr>
        <w:ind w:left="2160" w:hanging="360"/>
      </w:pPr>
      <w:rPr>
        <w:rFonts w:ascii="Courier New" w:hAnsi="Courier New" w:cs="Courier New" w:hint="default"/>
      </w:rPr>
    </w:lvl>
    <w:lvl w:ilvl="2" w:tplc="FF3C6D38" w:tentative="1">
      <w:start w:val="1"/>
      <w:numFmt w:val="bullet"/>
      <w:lvlText w:val=""/>
      <w:lvlJc w:val="left"/>
      <w:pPr>
        <w:ind w:left="2880" w:hanging="360"/>
      </w:pPr>
      <w:rPr>
        <w:rFonts w:ascii="Wingdings" w:hAnsi="Wingdings" w:hint="default"/>
      </w:rPr>
    </w:lvl>
    <w:lvl w:ilvl="3" w:tplc="82602AC6" w:tentative="1">
      <w:start w:val="1"/>
      <w:numFmt w:val="bullet"/>
      <w:lvlText w:val=""/>
      <w:lvlJc w:val="left"/>
      <w:pPr>
        <w:ind w:left="3600" w:hanging="360"/>
      </w:pPr>
      <w:rPr>
        <w:rFonts w:ascii="Symbol" w:hAnsi="Symbol" w:hint="default"/>
      </w:rPr>
    </w:lvl>
    <w:lvl w:ilvl="4" w:tplc="FF3C6D38"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15:restartNumberingAfterBreak="0">
    <w:nsid w:val="0DC033DE"/>
    <w:multiLevelType w:val="hybridMultilevel"/>
    <w:tmpl w:val="AB7E7852"/>
    <w:lvl w:ilvl="0" w:tplc="3A4496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B2A9B"/>
    <w:multiLevelType w:val="hybridMultilevel"/>
    <w:tmpl w:val="8D80E376"/>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120B4"/>
    <w:multiLevelType w:val="hybridMultilevel"/>
    <w:tmpl w:val="6B1EECC4"/>
    <w:lvl w:ilvl="0" w:tplc="9BCC719A">
      <w:start w:val="1"/>
      <w:numFmt w:val="decimal"/>
      <w:lvlText w:val="Điều %1."/>
      <w:lvlJc w:val="left"/>
      <w:pPr>
        <w:tabs>
          <w:tab w:val="num" w:pos="2127"/>
        </w:tabs>
        <w:ind w:left="3071" w:hanging="944"/>
      </w:pPr>
      <w:rPr>
        <w:rFonts w:ascii="Times New Roman" w:hAnsi="Times New Roman" w:hint="default"/>
        <w:b/>
        <w:i w:val="0"/>
        <w:sz w:val="26"/>
        <w:szCs w:val="26"/>
        <w:u w:val="singl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7" w15:restartNumberingAfterBreak="0">
    <w:nsid w:val="176D6527"/>
    <w:multiLevelType w:val="hybridMultilevel"/>
    <w:tmpl w:val="B37E83B4"/>
    <w:lvl w:ilvl="0" w:tplc="F1921534">
      <w:start w:val="1"/>
      <w:numFmt w:val="upperRoman"/>
      <w:pStyle w:val="MUC"/>
      <w:lvlText w:val="%1."/>
      <w:lvlJc w:val="right"/>
      <w:pPr>
        <w:tabs>
          <w:tab w:val="num" w:pos="720"/>
        </w:tabs>
        <w:ind w:left="720" w:hanging="180"/>
      </w:pPr>
    </w:lvl>
    <w:lvl w:ilvl="1" w:tplc="8228CDDA">
      <w:start w:val="1"/>
      <w:numFmt w:val="decimal"/>
      <w:pStyle w:val="Heading1"/>
      <w:lvlText w:val="%2."/>
      <w:lvlJc w:val="left"/>
      <w:pPr>
        <w:tabs>
          <w:tab w:val="num" w:pos="1440"/>
        </w:tabs>
        <w:ind w:left="1440" w:hanging="360"/>
      </w:p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E74B0"/>
    <w:multiLevelType w:val="hybridMultilevel"/>
    <w:tmpl w:val="A380F280"/>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775AF"/>
    <w:multiLevelType w:val="hybridMultilevel"/>
    <w:tmpl w:val="2B605096"/>
    <w:lvl w:ilvl="0" w:tplc="8DE86092">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5399F"/>
    <w:multiLevelType w:val="multilevel"/>
    <w:tmpl w:val="D054D88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9C331C7"/>
    <w:multiLevelType w:val="hybridMultilevel"/>
    <w:tmpl w:val="C1DCA200"/>
    <w:lvl w:ilvl="0" w:tplc="9C6E9EF6">
      <w:numFmt w:val="bullet"/>
      <w:lvlText w:val="-"/>
      <w:lvlJc w:val="left"/>
      <w:pPr>
        <w:ind w:left="1661" w:hanging="360"/>
      </w:pPr>
      <w:rPr>
        <w:rFonts w:ascii=".VnTime" w:eastAsia="Times New Roman" w:hAnsi=".VnTime" w:cs="Times New Roman"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2" w15:restartNumberingAfterBreak="0">
    <w:nsid w:val="3D385455"/>
    <w:multiLevelType w:val="multilevel"/>
    <w:tmpl w:val="D18A2F94"/>
    <w:lvl w:ilvl="0">
      <w:start w:val="1"/>
      <w:numFmt w:val="decimal"/>
      <w:lvlText w:val="%1."/>
      <w:lvlJc w:val="left"/>
      <w:pPr>
        <w:ind w:left="720" w:hanging="360"/>
      </w:pPr>
      <w:rPr>
        <w:rFonts w:hint="default"/>
        <w:b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86E56E7"/>
    <w:multiLevelType w:val="hybridMultilevel"/>
    <w:tmpl w:val="6AA81E46"/>
    <w:lvl w:ilvl="0" w:tplc="3272CA4C">
      <w:start w:val="1"/>
      <w:numFmt w:val="bullet"/>
      <w:lvlText w:val=""/>
      <w:lvlJc w:val="left"/>
      <w:pPr>
        <w:ind w:left="2160" w:hanging="360"/>
      </w:pPr>
      <w:rPr>
        <w:rFonts w:ascii="Wingdings" w:hAnsi="Wingdings" w:hint="default"/>
      </w:rPr>
    </w:lvl>
    <w:lvl w:ilvl="1" w:tplc="0409000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4" w15:restartNumberingAfterBreak="0">
    <w:nsid w:val="498F3775"/>
    <w:multiLevelType w:val="hybridMultilevel"/>
    <w:tmpl w:val="7BE689B0"/>
    <w:lvl w:ilvl="0" w:tplc="30EC4C2A">
      <w:start w:val="1"/>
      <w:numFmt w:val="decimal"/>
      <w:lvlText w:val="%1."/>
      <w:lvlJc w:val="left"/>
      <w:pPr>
        <w:tabs>
          <w:tab w:val="num" w:pos="720"/>
        </w:tabs>
        <w:ind w:left="720" w:hanging="360"/>
      </w:pPr>
    </w:lvl>
    <w:lvl w:ilvl="1" w:tplc="F70638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F16C28"/>
    <w:multiLevelType w:val="hybridMultilevel"/>
    <w:tmpl w:val="32A8A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B4B95"/>
    <w:multiLevelType w:val="hybridMultilevel"/>
    <w:tmpl w:val="A0D6E2C0"/>
    <w:lvl w:ilvl="0" w:tplc="8DE86092">
      <w:start w:val="1"/>
      <w:numFmt w:val="bullet"/>
      <w:lvlText w:val="-"/>
      <w:lvlJc w:val="left"/>
      <w:pPr>
        <w:ind w:left="1716" w:hanging="360"/>
      </w:pPr>
      <w:rPr>
        <w:rFonts w:ascii="Franklin Gothic Medium" w:hAnsi="Franklin Gothic Medium"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7" w15:restartNumberingAfterBreak="0">
    <w:nsid w:val="5B2C675E"/>
    <w:multiLevelType w:val="hybridMultilevel"/>
    <w:tmpl w:val="B9CA0F9A"/>
    <w:lvl w:ilvl="0" w:tplc="8DE86092">
      <w:start w:val="1"/>
      <w:numFmt w:val="bullet"/>
      <w:lvlText w:val="-"/>
      <w:lvlJc w:val="left"/>
      <w:pPr>
        <w:ind w:left="1287" w:hanging="360"/>
      </w:pPr>
      <w:rPr>
        <w:rFonts w:ascii="Franklin Gothic Medium" w:hAnsi="Franklin Gothic Mediu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2E41EB1"/>
    <w:multiLevelType w:val="hybridMultilevel"/>
    <w:tmpl w:val="77242344"/>
    <w:lvl w:ilvl="0" w:tplc="4C20F7DC">
      <w:start w:val="1"/>
      <w:numFmt w:val="decimal"/>
      <w:lvlText w:val="Điều %1:"/>
      <w:lvlJc w:val="left"/>
      <w:pPr>
        <w:tabs>
          <w:tab w:val="num" w:pos="0"/>
        </w:tabs>
        <w:ind w:left="944" w:hanging="944"/>
      </w:pPr>
      <w:rPr>
        <w:rFonts w:ascii="Times New Roman" w:hAnsi="Times New Roman" w:hint="default"/>
        <w:b/>
        <w:i w:val="0"/>
        <w:sz w:val="24"/>
        <w:szCs w:val="24"/>
        <w:u w:val="none"/>
      </w:rPr>
    </w:lvl>
    <w:lvl w:ilvl="1" w:tplc="8228CDDA">
      <w:start w:val="1"/>
      <w:numFmt w:val="bullet"/>
      <w:lvlText w:val=""/>
      <w:lvlJc w:val="left"/>
      <w:pPr>
        <w:tabs>
          <w:tab w:val="num" w:pos="1470"/>
        </w:tabs>
        <w:ind w:left="1470" w:hanging="390"/>
      </w:pPr>
      <w:rPr>
        <w:rFonts w:ascii="Symbol" w:hAnsi="Symbol" w:hint="default"/>
        <w:b/>
        <w:i w:val="0"/>
        <w:color w:val="000000"/>
        <w:sz w:val="24"/>
        <w:szCs w:val="24"/>
        <w:u w:val="none"/>
      </w:r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9765ED"/>
    <w:multiLevelType w:val="hybridMultilevel"/>
    <w:tmpl w:val="F42CF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5B3A02"/>
    <w:multiLevelType w:val="hybridMultilevel"/>
    <w:tmpl w:val="062C10C0"/>
    <w:lvl w:ilvl="0" w:tplc="D4647F88">
      <w:numFmt w:val="bullet"/>
      <w:lvlText w:val="-"/>
      <w:lvlJc w:val="left"/>
      <w:pPr>
        <w:tabs>
          <w:tab w:val="num" w:pos="1080"/>
        </w:tabs>
        <w:ind w:left="1080" w:hanging="360"/>
      </w:pPr>
      <w:rPr>
        <w:rFonts w:ascii="Times New Roman" w:eastAsia="Times New Roman" w:hAnsi="Times New Roman" w:cs="Times New Roman" w:hint="default"/>
      </w:rPr>
    </w:lvl>
    <w:lvl w:ilvl="1" w:tplc="ED3CA004" w:tentative="1">
      <w:start w:val="1"/>
      <w:numFmt w:val="bullet"/>
      <w:lvlText w:val="o"/>
      <w:lvlJc w:val="left"/>
      <w:pPr>
        <w:tabs>
          <w:tab w:val="num" w:pos="1800"/>
        </w:tabs>
        <w:ind w:left="1800" w:hanging="360"/>
      </w:pPr>
      <w:rPr>
        <w:rFonts w:ascii="Courier New" w:hAnsi="Courier New" w:cs="Courier New" w:hint="default"/>
      </w:rPr>
    </w:lvl>
    <w:lvl w:ilvl="2" w:tplc="4DF2C95C" w:tentative="1">
      <w:start w:val="1"/>
      <w:numFmt w:val="bullet"/>
      <w:lvlText w:val=""/>
      <w:lvlJc w:val="left"/>
      <w:pPr>
        <w:tabs>
          <w:tab w:val="num" w:pos="2520"/>
        </w:tabs>
        <w:ind w:left="2520" w:hanging="360"/>
      </w:pPr>
      <w:rPr>
        <w:rFonts w:ascii="Wingdings" w:hAnsi="Wingdings" w:hint="default"/>
      </w:rPr>
    </w:lvl>
    <w:lvl w:ilvl="3" w:tplc="60340572" w:tentative="1">
      <w:start w:val="1"/>
      <w:numFmt w:val="bullet"/>
      <w:lvlText w:val=""/>
      <w:lvlJc w:val="left"/>
      <w:pPr>
        <w:tabs>
          <w:tab w:val="num" w:pos="3240"/>
        </w:tabs>
        <w:ind w:left="3240" w:hanging="360"/>
      </w:pPr>
      <w:rPr>
        <w:rFonts w:ascii="Symbol" w:hAnsi="Symbol" w:hint="default"/>
      </w:rPr>
    </w:lvl>
    <w:lvl w:ilvl="4" w:tplc="684A5186" w:tentative="1">
      <w:start w:val="1"/>
      <w:numFmt w:val="bullet"/>
      <w:lvlText w:val="o"/>
      <w:lvlJc w:val="left"/>
      <w:pPr>
        <w:tabs>
          <w:tab w:val="num" w:pos="3960"/>
        </w:tabs>
        <w:ind w:left="3960" w:hanging="360"/>
      </w:pPr>
      <w:rPr>
        <w:rFonts w:ascii="Courier New" w:hAnsi="Courier New" w:cs="Courier New" w:hint="default"/>
      </w:rPr>
    </w:lvl>
    <w:lvl w:ilvl="5" w:tplc="D082B6FC" w:tentative="1">
      <w:start w:val="1"/>
      <w:numFmt w:val="bullet"/>
      <w:lvlText w:val=""/>
      <w:lvlJc w:val="left"/>
      <w:pPr>
        <w:tabs>
          <w:tab w:val="num" w:pos="4680"/>
        </w:tabs>
        <w:ind w:left="4680" w:hanging="360"/>
      </w:pPr>
      <w:rPr>
        <w:rFonts w:ascii="Wingdings" w:hAnsi="Wingdings" w:hint="default"/>
      </w:rPr>
    </w:lvl>
    <w:lvl w:ilvl="6" w:tplc="696AA01C" w:tentative="1">
      <w:start w:val="1"/>
      <w:numFmt w:val="bullet"/>
      <w:lvlText w:val=""/>
      <w:lvlJc w:val="left"/>
      <w:pPr>
        <w:tabs>
          <w:tab w:val="num" w:pos="5400"/>
        </w:tabs>
        <w:ind w:left="5400" w:hanging="360"/>
      </w:pPr>
      <w:rPr>
        <w:rFonts w:ascii="Symbol" w:hAnsi="Symbol" w:hint="default"/>
      </w:rPr>
    </w:lvl>
    <w:lvl w:ilvl="7" w:tplc="C23064CC" w:tentative="1">
      <w:start w:val="1"/>
      <w:numFmt w:val="bullet"/>
      <w:lvlText w:val="o"/>
      <w:lvlJc w:val="left"/>
      <w:pPr>
        <w:tabs>
          <w:tab w:val="num" w:pos="6120"/>
        </w:tabs>
        <w:ind w:left="6120" w:hanging="360"/>
      </w:pPr>
      <w:rPr>
        <w:rFonts w:ascii="Courier New" w:hAnsi="Courier New" w:cs="Courier New" w:hint="default"/>
      </w:rPr>
    </w:lvl>
    <w:lvl w:ilvl="8" w:tplc="7AB6F79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8C3A4A"/>
    <w:multiLevelType w:val="multilevel"/>
    <w:tmpl w:val="7BE68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2D5A30"/>
    <w:multiLevelType w:val="multilevel"/>
    <w:tmpl w:val="7D8CEBC2"/>
    <w:lvl w:ilvl="0">
      <w:start w:val="1"/>
      <w:numFmt w:val="decimal"/>
      <w:lvlText w:val="Điều %1:"/>
      <w:lvlJc w:val="left"/>
      <w:pPr>
        <w:tabs>
          <w:tab w:val="num" w:pos="0"/>
        </w:tabs>
        <w:ind w:left="944" w:hanging="944"/>
      </w:pPr>
      <w:rPr>
        <w:rFonts w:ascii="Times New Roman" w:hAnsi="Times New Roman" w:hint="default"/>
        <w:b/>
        <w:i w:val="0"/>
        <w:sz w:val="24"/>
        <w:szCs w:val="24"/>
        <w:u w:val="single"/>
      </w:rPr>
    </w:lvl>
    <w:lvl w:ilvl="1">
      <w:start w:val="1"/>
      <w:numFmt w:val="bullet"/>
      <w:lvlText w:val=""/>
      <w:lvlJc w:val="left"/>
      <w:pPr>
        <w:tabs>
          <w:tab w:val="num" w:pos="1440"/>
        </w:tabs>
        <w:ind w:left="1440" w:hanging="360"/>
      </w:pPr>
      <w:rPr>
        <w:rFonts w:ascii="Wingdings" w:hAnsi="Wingdings" w:hint="default"/>
        <w:b/>
        <w:i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1B59C8"/>
    <w:multiLevelType w:val="hybridMultilevel"/>
    <w:tmpl w:val="1B6ECC14"/>
    <w:lvl w:ilvl="0" w:tplc="1D6890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7F1F16"/>
    <w:multiLevelType w:val="hybridMultilevel"/>
    <w:tmpl w:val="7536F448"/>
    <w:lvl w:ilvl="0" w:tplc="6AA01CF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C3EFD"/>
    <w:multiLevelType w:val="multilevel"/>
    <w:tmpl w:val="7892E5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85B0984"/>
    <w:multiLevelType w:val="hybridMultilevel"/>
    <w:tmpl w:val="0FE873AE"/>
    <w:lvl w:ilvl="0" w:tplc="5C4C5414">
      <w:start w:val="1"/>
      <w:numFmt w:val="bullet"/>
      <w:suff w:val="space"/>
      <w:lvlText w:val="-"/>
      <w:lvlJc w:val="left"/>
      <w:pPr>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05FCE"/>
    <w:multiLevelType w:val="hybridMultilevel"/>
    <w:tmpl w:val="70666CD6"/>
    <w:lvl w:ilvl="0" w:tplc="8DE86092">
      <w:start w:val="1"/>
      <w:numFmt w:val="bullet"/>
      <w:lvlText w:val="-"/>
      <w:lvlJc w:val="left"/>
      <w:pPr>
        <w:ind w:left="1890" w:hanging="360"/>
      </w:pPr>
      <w:rPr>
        <w:rFonts w:ascii="Franklin Gothic Medium" w:hAnsi="Franklin Gothic Medium"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7C701684"/>
    <w:multiLevelType w:val="hybridMultilevel"/>
    <w:tmpl w:val="F9AE3A22"/>
    <w:lvl w:ilvl="0" w:tplc="6BF634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E40B6"/>
    <w:multiLevelType w:val="multilevel"/>
    <w:tmpl w:val="0406A9F0"/>
    <w:lvl w:ilvl="0">
      <w:start w:val="1"/>
      <w:numFmt w:val="decimal"/>
      <w:lvlText w:val="%1."/>
      <w:lvlJc w:val="left"/>
      <w:pPr>
        <w:tabs>
          <w:tab w:val="num" w:pos="360"/>
        </w:tabs>
        <w:ind w:left="360" w:hanging="360"/>
      </w:pPr>
      <w:rPr>
        <w:rFonts w:hint="default"/>
      </w:rPr>
    </w:lvl>
    <w:lvl w:ilvl="1">
      <w:start w:val="1"/>
      <w:numFmt w:val="none"/>
      <w:pStyle w:val="1heading2"/>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0"/>
  </w:num>
  <w:num w:numId="3">
    <w:abstractNumId w:val="29"/>
  </w:num>
  <w:num w:numId="4">
    <w:abstractNumId w:val="0"/>
  </w:num>
  <w:num w:numId="5">
    <w:abstractNumId w:val="26"/>
  </w:num>
  <w:num w:numId="6">
    <w:abstractNumId w:val="6"/>
  </w:num>
  <w:num w:numId="7">
    <w:abstractNumId w:val="25"/>
  </w:num>
  <w:num w:numId="8">
    <w:abstractNumId w:val="14"/>
  </w:num>
  <w:num w:numId="9">
    <w:abstractNumId w:val="21"/>
  </w:num>
  <w:num w:numId="10">
    <w:abstractNumId w:val="22"/>
  </w:num>
  <w:num w:numId="11">
    <w:abstractNumId w:val="20"/>
  </w:num>
  <w:num w:numId="12">
    <w:abstractNumId w:val="3"/>
  </w:num>
  <w:num w:numId="13">
    <w:abstractNumId w:val="13"/>
  </w:num>
  <w:num w:numId="14">
    <w:abstractNumId w:val="23"/>
  </w:num>
  <w:num w:numId="15">
    <w:abstractNumId w:val="18"/>
  </w:num>
  <w:num w:numId="16">
    <w:abstractNumId w:val="2"/>
  </w:num>
  <w:num w:numId="17">
    <w:abstractNumId w:val="1"/>
  </w:num>
  <w:num w:numId="18">
    <w:abstractNumId w:val="15"/>
  </w:num>
  <w:num w:numId="19">
    <w:abstractNumId w:val="8"/>
  </w:num>
  <w:num w:numId="20">
    <w:abstractNumId w:val="4"/>
  </w:num>
  <w:num w:numId="21">
    <w:abstractNumId w:val="19"/>
  </w:num>
  <w:num w:numId="22">
    <w:abstractNumId w:val="24"/>
  </w:num>
  <w:num w:numId="23">
    <w:abstractNumId w:val="12"/>
  </w:num>
  <w:num w:numId="24">
    <w:abstractNumId w:val="5"/>
  </w:num>
  <w:num w:numId="25">
    <w:abstractNumId w:val="9"/>
  </w:num>
  <w:num w:numId="26">
    <w:abstractNumId w:val="28"/>
  </w:num>
  <w:num w:numId="27">
    <w:abstractNumId w:val="27"/>
  </w:num>
  <w:num w:numId="28">
    <w:abstractNumId w:val="16"/>
  </w:num>
  <w:num w:numId="29">
    <w:abstractNumId w:val="11"/>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92"/>
    <w:rsid w:val="00000663"/>
    <w:rsid w:val="0000292C"/>
    <w:rsid w:val="000032FE"/>
    <w:rsid w:val="000047DB"/>
    <w:rsid w:val="00005CA0"/>
    <w:rsid w:val="00007ACB"/>
    <w:rsid w:val="00010C4F"/>
    <w:rsid w:val="00010E09"/>
    <w:rsid w:val="00010EF9"/>
    <w:rsid w:val="00012E17"/>
    <w:rsid w:val="00021595"/>
    <w:rsid w:val="00021E20"/>
    <w:rsid w:val="000304D5"/>
    <w:rsid w:val="00033CF5"/>
    <w:rsid w:val="0003731E"/>
    <w:rsid w:val="00043371"/>
    <w:rsid w:val="00050A5B"/>
    <w:rsid w:val="00051784"/>
    <w:rsid w:val="00056BFE"/>
    <w:rsid w:val="00070B30"/>
    <w:rsid w:val="000739BD"/>
    <w:rsid w:val="0007454F"/>
    <w:rsid w:val="00083F58"/>
    <w:rsid w:val="00084517"/>
    <w:rsid w:val="0008578A"/>
    <w:rsid w:val="000922DF"/>
    <w:rsid w:val="000929D3"/>
    <w:rsid w:val="00095544"/>
    <w:rsid w:val="000A0370"/>
    <w:rsid w:val="000A21A0"/>
    <w:rsid w:val="000A776C"/>
    <w:rsid w:val="000B0BAD"/>
    <w:rsid w:val="000B241D"/>
    <w:rsid w:val="000B304A"/>
    <w:rsid w:val="000B5E94"/>
    <w:rsid w:val="000B7FCE"/>
    <w:rsid w:val="000C2175"/>
    <w:rsid w:val="000C48AF"/>
    <w:rsid w:val="000C766D"/>
    <w:rsid w:val="000D074A"/>
    <w:rsid w:val="000E276B"/>
    <w:rsid w:val="000E358A"/>
    <w:rsid w:val="000E74EE"/>
    <w:rsid w:val="000E7877"/>
    <w:rsid w:val="000F49A9"/>
    <w:rsid w:val="000F63E0"/>
    <w:rsid w:val="00102CAC"/>
    <w:rsid w:val="00102D86"/>
    <w:rsid w:val="00103369"/>
    <w:rsid w:val="001108E3"/>
    <w:rsid w:val="00110EA3"/>
    <w:rsid w:val="00114F81"/>
    <w:rsid w:val="001179AD"/>
    <w:rsid w:val="00122211"/>
    <w:rsid w:val="0012526D"/>
    <w:rsid w:val="00125834"/>
    <w:rsid w:val="00135A2A"/>
    <w:rsid w:val="00137870"/>
    <w:rsid w:val="00142CEA"/>
    <w:rsid w:val="001469E2"/>
    <w:rsid w:val="0014709A"/>
    <w:rsid w:val="00154A34"/>
    <w:rsid w:val="00157852"/>
    <w:rsid w:val="001579A6"/>
    <w:rsid w:val="00164572"/>
    <w:rsid w:val="00170079"/>
    <w:rsid w:val="001707DA"/>
    <w:rsid w:val="00172223"/>
    <w:rsid w:val="0017338C"/>
    <w:rsid w:val="00174723"/>
    <w:rsid w:val="001842E3"/>
    <w:rsid w:val="001A1A84"/>
    <w:rsid w:val="001A1B2B"/>
    <w:rsid w:val="001A3525"/>
    <w:rsid w:val="001B0D0E"/>
    <w:rsid w:val="001B2FE9"/>
    <w:rsid w:val="001B4503"/>
    <w:rsid w:val="001B559E"/>
    <w:rsid w:val="001B7EED"/>
    <w:rsid w:val="001C6CEA"/>
    <w:rsid w:val="001C7807"/>
    <w:rsid w:val="001D29B8"/>
    <w:rsid w:val="001D2F61"/>
    <w:rsid w:val="001D6F6C"/>
    <w:rsid w:val="001D7E07"/>
    <w:rsid w:val="001E102E"/>
    <w:rsid w:val="001E3E49"/>
    <w:rsid w:val="001E6D03"/>
    <w:rsid w:val="001F181C"/>
    <w:rsid w:val="001F3431"/>
    <w:rsid w:val="001F691A"/>
    <w:rsid w:val="00205AE9"/>
    <w:rsid w:val="00207A9C"/>
    <w:rsid w:val="00211853"/>
    <w:rsid w:val="00213C83"/>
    <w:rsid w:val="002140DE"/>
    <w:rsid w:val="00221E6F"/>
    <w:rsid w:val="00222834"/>
    <w:rsid w:val="00222A10"/>
    <w:rsid w:val="00242E7B"/>
    <w:rsid w:val="002466B3"/>
    <w:rsid w:val="00247C06"/>
    <w:rsid w:val="00251D48"/>
    <w:rsid w:val="002529C7"/>
    <w:rsid w:val="00253CE4"/>
    <w:rsid w:val="00256599"/>
    <w:rsid w:val="00261EEC"/>
    <w:rsid w:val="002675F1"/>
    <w:rsid w:val="00274763"/>
    <w:rsid w:val="002844AB"/>
    <w:rsid w:val="00285208"/>
    <w:rsid w:val="002865BD"/>
    <w:rsid w:val="00286F04"/>
    <w:rsid w:val="00295764"/>
    <w:rsid w:val="002A5BF4"/>
    <w:rsid w:val="002B3ED8"/>
    <w:rsid w:val="002B4E8A"/>
    <w:rsid w:val="002C18DC"/>
    <w:rsid w:val="002C19AD"/>
    <w:rsid w:val="002C1C7B"/>
    <w:rsid w:val="002C3CC8"/>
    <w:rsid w:val="002C657A"/>
    <w:rsid w:val="002D0AFB"/>
    <w:rsid w:val="002E2BF5"/>
    <w:rsid w:val="002E4C8B"/>
    <w:rsid w:val="002E5BFD"/>
    <w:rsid w:val="002E7655"/>
    <w:rsid w:val="002F4B53"/>
    <w:rsid w:val="002F5016"/>
    <w:rsid w:val="002F7F31"/>
    <w:rsid w:val="00301943"/>
    <w:rsid w:val="00301D21"/>
    <w:rsid w:val="003122C3"/>
    <w:rsid w:val="003223D3"/>
    <w:rsid w:val="00324967"/>
    <w:rsid w:val="0032529A"/>
    <w:rsid w:val="00325FB6"/>
    <w:rsid w:val="00326F03"/>
    <w:rsid w:val="00327458"/>
    <w:rsid w:val="00330EF5"/>
    <w:rsid w:val="00334680"/>
    <w:rsid w:val="00337CC8"/>
    <w:rsid w:val="0035428F"/>
    <w:rsid w:val="0035679B"/>
    <w:rsid w:val="0035717A"/>
    <w:rsid w:val="00361D60"/>
    <w:rsid w:val="00363DF0"/>
    <w:rsid w:val="003709DC"/>
    <w:rsid w:val="0037296D"/>
    <w:rsid w:val="00372A2D"/>
    <w:rsid w:val="00383AE1"/>
    <w:rsid w:val="0038636E"/>
    <w:rsid w:val="00386E9D"/>
    <w:rsid w:val="00391982"/>
    <w:rsid w:val="00392D91"/>
    <w:rsid w:val="0039321F"/>
    <w:rsid w:val="003934A3"/>
    <w:rsid w:val="003944E6"/>
    <w:rsid w:val="00394BE3"/>
    <w:rsid w:val="00397755"/>
    <w:rsid w:val="003A343A"/>
    <w:rsid w:val="003A4DC3"/>
    <w:rsid w:val="003A4F9F"/>
    <w:rsid w:val="003B05AE"/>
    <w:rsid w:val="003B17C3"/>
    <w:rsid w:val="003C47A6"/>
    <w:rsid w:val="003C66EE"/>
    <w:rsid w:val="003D5286"/>
    <w:rsid w:val="003D638F"/>
    <w:rsid w:val="003E04E2"/>
    <w:rsid w:val="003E155C"/>
    <w:rsid w:val="003E5CB5"/>
    <w:rsid w:val="003E6176"/>
    <w:rsid w:val="003E7E71"/>
    <w:rsid w:val="003F1005"/>
    <w:rsid w:val="003F45E4"/>
    <w:rsid w:val="003F537F"/>
    <w:rsid w:val="003F75F6"/>
    <w:rsid w:val="003F7BA4"/>
    <w:rsid w:val="003F7D78"/>
    <w:rsid w:val="00405F13"/>
    <w:rsid w:val="00411885"/>
    <w:rsid w:val="00416EF1"/>
    <w:rsid w:val="00417BA8"/>
    <w:rsid w:val="00417D17"/>
    <w:rsid w:val="004227C5"/>
    <w:rsid w:val="004247AC"/>
    <w:rsid w:val="00431577"/>
    <w:rsid w:val="00431715"/>
    <w:rsid w:val="00432CA5"/>
    <w:rsid w:val="004359CD"/>
    <w:rsid w:val="00437BEA"/>
    <w:rsid w:val="00442D11"/>
    <w:rsid w:val="00442DBA"/>
    <w:rsid w:val="00447DD3"/>
    <w:rsid w:val="004504AA"/>
    <w:rsid w:val="004512FE"/>
    <w:rsid w:val="004523A0"/>
    <w:rsid w:val="00456A11"/>
    <w:rsid w:val="00457F85"/>
    <w:rsid w:val="0046124C"/>
    <w:rsid w:val="00462D13"/>
    <w:rsid w:val="00463038"/>
    <w:rsid w:val="00464D86"/>
    <w:rsid w:val="004650D1"/>
    <w:rsid w:val="0047215C"/>
    <w:rsid w:val="0047255C"/>
    <w:rsid w:val="00476E3E"/>
    <w:rsid w:val="00480F17"/>
    <w:rsid w:val="00481311"/>
    <w:rsid w:val="00484377"/>
    <w:rsid w:val="00494183"/>
    <w:rsid w:val="004941CC"/>
    <w:rsid w:val="00496A00"/>
    <w:rsid w:val="004A0A5D"/>
    <w:rsid w:val="004A4799"/>
    <w:rsid w:val="004A4ABE"/>
    <w:rsid w:val="004A5FE5"/>
    <w:rsid w:val="004C004B"/>
    <w:rsid w:val="004C5651"/>
    <w:rsid w:val="004C63B9"/>
    <w:rsid w:val="004D2C79"/>
    <w:rsid w:val="004D512C"/>
    <w:rsid w:val="004E17E3"/>
    <w:rsid w:val="004F0F47"/>
    <w:rsid w:val="004F7947"/>
    <w:rsid w:val="005006E4"/>
    <w:rsid w:val="00502FA8"/>
    <w:rsid w:val="005037B3"/>
    <w:rsid w:val="005038D9"/>
    <w:rsid w:val="0050428A"/>
    <w:rsid w:val="0050580A"/>
    <w:rsid w:val="00505A49"/>
    <w:rsid w:val="00514022"/>
    <w:rsid w:val="0053427B"/>
    <w:rsid w:val="005436C3"/>
    <w:rsid w:val="0055062F"/>
    <w:rsid w:val="00550731"/>
    <w:rsid w:val="00550E60"/>
    <w:rsid w:val="0055127C"/>
    <w:rsid w:val="0055396C"/>
    <w:rsid w:val="005620F3"/>
    <w:rsid w:val="00563AAD"/>
    <w:rsid w:val="005760E5"/>
    <w:rsid w:val="0057795E"/>
    <w:rsid w:val="005811C6"/>
    <w:rsid w:val="00582ACD"/>
    <w:rsid w:val="005859B3"/>
    <w:rsid w:val="00590623"/>
    <w:rsid w:val="005909EE"/>
    <w:rsid w:val="00597A73"/>
    <w:rsid w:val="005A089B"/>
    <w:rsid w:val="005A16C5"/>
    <w:rsid w:val="005A1BB9"/>
    <w:rsid w:val="005B38F0"/>
    <w:rsid w:val="005B544B"/>
    <w:rsid w:val="005B7969"/>
    <w:rsid w:val="005C15C0"/>
    <w:rsid w:val="005C1CA8"/>
    <w:rsid w:val="005C3735"/>
    <w:rsid w:val="005C4ADC"/>
    <w:rsid w:val="005D12BF"/>
    <w:rsid w:val="005E1CEF"/>
    <w:rsid w:val="005E2CAF"/>
    <w:rsid w:val="005E313B"/>
    <w:rsid w:val="005E71A0"/>
    <w:rsid w:val="005F483B"/>
    <w:rsid w:val="005F714E"/>
    <w:rsid w:val="005F787F"/>
    <w:rsid w:val="006125E1"/>
    <w:rsid w:val="00612F7A"/>
    <w:rsid w:val="00615545"/>
    <w:rsid w:val="00621F88"/>
    <w:rsid w:val="00623D29"/>
    <w:rsid w:val="00624140"/>
    <w:rsid w:val="00632A8E"/>
    <w:rsid w:val="00635A0C"/>
    <w:rsid w:val="00646DC2"/>
    <w:rsid w:val="006513C8"/>
    <w:rsid w:val="00653B60"/>
    <w:rsid w:val="00654E96"/>
    <w:rsid w:val="00663407"/>
    <w:rsid w:val="00665559"/>
    <w:rsid w:val="00667478"/>
    <w:rsid w:val="00673D1D"/>
    <w:rsid w:val="00674D1D"/>
    <w:rsid w:val="006828E2"/>
    <w:rsid w:val="00684ADF"/>
    <w:rsid w:val="006865E4"/>
    <w:rsid w:val="00693A92"/>
    <w:rsid w:val="00697354"/>
    <w:rsid w:val="006A3A7B"/>
    <w:rsid w:val="006A3D2D"/>
    <w:rsid w:val="006A4C0B"/>
    <w:rsid w:val="006B2E10"/>
    <w:rsid w:val="006B7E7B"/>
    <w:rsid w:val="006C7619"/>
    <w:rsid w:val="006E5D3D"/>
    <w:rsid w:val="006E7018"/>
    <w:rsid w:val="006F2F5F"/>
    <w:rsid w:val="006F5A45"/>
    <w:rsid w:val="00703840"/>
    <w:rsid w:val="00703D76"/>
    <w:rsid w:val="007072B2"/>
    <w:rsid w:val="00710A87"/>
    <w:rsid w:val="007162F5"/>
    <w:rsid w:val="007218C5"/>
    <w:rsid w:val="00727268"/>
    <w:rsid w:val="00727E0C"/>
    <w:rsid w:val="00734673"/>
    <w:rsid w:val="00746DC1"/>
    <w:rsid w:val="007516DB"/>
    <w:rsid w:val="007517B8"/>
    <w:rsid w:val="00751BD2"/>
    <w:rsid w:val="00761FA1"/>
    <w:rsid w:val="007639BC"/>
    <w:rsid w:val="00763CAF"/>
    <w:rsid w:val="0076490F"/>
    <w:rsid w:val="007662BB"/>
    <w:rsid w:val="0076700A"/>
    <w:rsid w:val="00771765"/>
    <w:rsid w:val="007744C8"/>
    <w:rsid w:val="00780399"/>
    <w:rsid w:val="00781209"/>
    <w:rsid w:val="00783BB7"/>
    <w:rsid w:val="00793C41"/>
    <w:rsid w:val="0079471B"/>
    <w:rsid w:val="00794904"/>
    <w:rsid w:val="00794B7C"/>
    <w:rsid w:val="007951D5"/>
    <w:rsid w:val="007972CF"/>
    <w:rsid w:val="00797940"/>
    <w:rsid w:val="007A0C25"/>
    <w:rsid w:val="007A1EFD"/>
    <w:rsid w:val="007A3530"/>
    <w:rsid w:val="007A516E"/>
    <w:rsid w:val="007A5F12"/>
    <w:rsid w:val="007B7FE1"/>
    <w:rsid w:val="007C226E"/>
    <w:rsid w:val="007C3F6B"/>
    <w:rsid w:val="007C5AB2"/>
    <w:rsid w:val="007C630C"/>
    <w:rsid w:val="007D4372"/>
    <w:rsid w:val="007D567D"/>
    <w:rsid w:val="007D654C"/>
    <w:rsid w:val="007E2455"/>
    <w:rsid w:val="007E3F8A"/>
    <w:rsid w:val="007E4CD0"/>
    <w:rsid w:val="007F15FC"/>
    <w:rsid w:val="007F4590"/>
    <w:rsid w:val="007F5B9D"/>
    <w:rsid w:val="007F7463"/>
    <w:rsid w:val="008020AD"/>
    <w:rsid w:val="00802B60"/>
    <w:rsid w:val="00812FD4"/>
    <w:rsid w:val="00821A8F"/>
    <w:rsid w:val="008262EA"/>
    <w:rsid w:val="00827427"/>
    <w:rsid w:val="00827A53"/>
    <w:rsid w:val="0083137E"/>
    <w:rsid w:val="00834E8E"/>
    <w:rsid w:val="008379C8"/>
    <w:rsid w:val="00843FC7"/>
    <w:rsid w:val="008511C5"/>
    <w:rsid w:val="0086174B"/>
    <w:rsid w:val="00862FB7"/>
    <w:rsid w:val="0086342F"/>
    <w:rsid w:val="0086592B"/>
    <w:rsid w:val="00866E90"/>
    <w:rsid w:val="00890206"/>
    <w:rsid w:val="0089638A"/>
    <w:rsid w:val="008A0051"/>
    <w:rsid w:val="008B3124"/>
    <w:rsid w:val="008B47F4"/>
    <w:rsid w:val="008C09BE"/>
    <w:rsid w:val="008D3DBF"/>
    <w:rsid w:val="008D7F62"/>
    <w:rsid w:val="008E4C0F"/>
    <w:rsid w:val="008E6B3C"/>
    <w:rsid w:val="008E7454"/>
    <w:rsid w:val="008F5C94"/>
    <w:rsid w:val="008F60DF"/>
    <w:rsid w:val="008F7738"/>
    <w:rsid w:val="009017A3"/>
    <w:rsid w:val="00911BCE"/>
    <w:rsid w:val="00916336"/>
    <w:rsid w:val="00917414"/>
    <w:rsid w:val="00924423"/>
    <w:rsid w:val="009251A5"/>
    <w:rsid w:val="00925A94"/>
    <w:rsid w:val="00926795"/>
    <w:rsid w:val="00927C45"/>
    <w:rsid w:val="00927DFB"/>
    <w:rsid w:val="00931D6E"/>
    <w:rsid w:val="00934FFC"/>
    <w:rsid w:val="00936015"/>
    <w:rsid w:val="00947BEB"/>
    <w:rsid w:val="00947F9A"/>
    <w:rsid w:val="009505B8"/>
    <w:rsid w:val="00957AE7"/>
    <w:rsid w:val="00963290"/>
    <w:rsid w:val="0096491C"/>
    <w:rsid w:val="0096611D"/>
    <w:rsid w:val="0097332B"/>
    <w:rsid w:val="009766D5"/>
    <w:rsid w:val="0098582A"/>
    <w:rsid w:val="00994C57"/>
    <w:rsid w:val="009969C5"/>
    <w:rsid w:val="009A09C5"/>
    <w:rsid w:val="009A234A"/>
    <w:rsid w:val="009A61D9"/>
    <w:rsid w:val="009B2DC5"/>
    <w:rsid w:val="009B3D33"/>
    <w:rsid w:val="009B3D8E"/>
    <w:rsid w:val="009B56C2"/>
    <w:rsid w:val="009B7A27"/>
    <w:rsid w:val="009C1E92"/>
    <w:rsid w:val="009C70B4"/>
    <w:rsid w:val="009F63C1"/>
    <w:rsid w:val="00A06CF4"/>
    <w:rsid w:val="00A10980"/>
    <w:rsid w:val="00A127C2"/>
    <w:rsid w:val="00A1403A"/>
    <w:rsid w:val="00A1565F"/>
    <w:rsid w:val="00A165B6"/>
    <w:rsid w:val="00A245CB"/>
    <w:rsid w:val="00A36FDA"/>
    <w:rsid w:val="00A4157D"/>
    <w:rsid w:val="00A41C7F"/>
    <w:rsid w:val="00A46620"/>
    <w:rsid w:val="00A63248"/>
    <w:rsid w:val="00A64F68"/>
    <w:rsid w:val="00A66274"/>
    <w:rsid w:val="00A86EE0"/>
    <w:rsid w:val="00A877A1"/>
    <w:rsid w:val="00A90193"/>
    <w:rsid w:val="00A908F8"/>
    <w:rsid w:val="00A94F4F"/>
    <w:rsid w:val="00A969BE"/>
    <w:rsid w:val="00AA07E3"/>
    <w:rsid w:val="00AA4D67"/>
    <w:rsid w:val="00AA5B17"/>
    <w:rsid w:val="00AA69DA"/>
    <w:rsid w:val="00AB22EC"/>
    <w:rsid w:val="00AB2ED7"/>
    <w:rsid w:val="00AB3A8C"/>
    <w:rsid w:val="00AB7A05"/>
    <w:rsid w:val="00AD51FF"/>
    <w:rsid w:val="00AE6943"/>
    <w:rsid w:val="00AF035A"/>
    <w:rsid w:val="00AF2E86"/>
    <w:rsid w:val="00AF7CE2"/>
    <w:rsid w:val="00B005BA"/>
    <w:rsid w:val="00B045BC"/>
    <w:rsid w:val="00B13A25"/>
    <w:rsid w:val="00B17CBB"/>
    <w:rsid w:val="00B206D7"/>
    <w:rsid w:val="00B270ED"/>
    <w:rsid w:val="00B27E47"/>
    <w:rsid w:val="00B44DFA"/>
    <w:rsid w:val="00B51DD2"/>
    <w:rsid w:val="00B60957"/>
    <w:rsid w:val="00B64D7A"/>
    <w:rsid w:val="00B6585F"/>
    <w:rsid w:val="00B71373"/>
    <w:rsid w:val="00B77989"/>
    <w:rsid w:val="00B77C8E"/>
    <w:rsid w:val="00B87260"/>
    <w:rsid w:val="00B87DDA"/>
    <w:rsid w:val="00B945FA"/>
    <w:rsid w:val="00B9624D"/>
    <w:rsid w:val="00B96B52"/>
    <w:rsid w:val="00B977C7"/>
    <w:rsid w:val="00BA1A5E"/>
    <w:rsid w:val="00BA1C2F"/>
    <w:rsid w:val="00BA6192"/>
    <w:rsid w:val="00BB5368"/>
    <w:rsid w:val="00BB5412"/>
    <w:rsid w:val="00BC2DDF"/>
    <w:rsid w:val="00BC63AE"/>
    <w:rsid w:val="00BC6E44"/>
    <w:rsid w:val="00BD068F"/>
    <w:rsid w:val="00BD316D"/>
    <w:rsid w:val="00BD3491"/>
    <w:rsid w:val="00BD66A2"/>
    <w:rsid w:val="00BD66B2"/>
    <w:rsid w:val="00BE66D7"/>
    <w:rsid w:val="00BE6BB5"/>
    <w:rsid w:val="00BE6C8E"/>
    <w:rsid w:val="00BF3CC7"/>
    <w:rsid w:val="00BF4796"/>
    <w:rsid w:val="00BF5969"/>
    <w:rsid w:val="00C02080"/>
    <w:rsid w:val="00C042D9"/>
    <w:rsid w:val="00C06D05"/>
    <w:rsid w:val="00C06EA1"/>
    <w:rsid w:val="00C10540"/>
    <w:rsid w:val="00C11F5C"/>
    <w:rsid w:val="00C132EC"/>
    <w:rsid w:val="00C14FBC"/>
    <w:rsid w:val="00C255C7"/>
    <w:rsid w:val="00C36E0A"/>
    <w:rsid w:val="00C37F2C"/>
    <w:rsid w:val="00C37FB5"/>
    <w:rsid w:val="00C4117D"/>
    <w:rsid w:val="00C41C63"/>
    <w:rsid w:val="00C42684"/>
    <w:rsid w:val="00C42B81"/>
    <w:rsid w:val="00C445DC"/>
    <w:rsid w:val="00C44800"/>
    <w:rsid w:val="00C4482C"/>
    <w:rsid w:val="00C46CDC"/>
    <w:rsid w:val="00C53CD9"/>
    <w:rsid w:val="00C61584"/>
    <w:rsid w:val="00C63753"/>
    <w:rsid w:val="00C67D8D"/>
    <w:rsid w:val="00C7126F"/>
    <w:rsid w:val="00C733E4"/>
    <w:rsid w:val="00C76D19"/>
    <w:rsid w:val="00C8043B"/>
    <w:rsid w:val="00C83096"/>
    <w:rsid w:val="00C847C8"/>
    <w:rsid w:val="00C8730B"/>
    <w:rsid w:val="00C93E4C"/>
    <w:rsid w:val="00CA7AFA"/>
    <w:rsid w:val="00CB27E6"/>
    <w:rsid w:val="00CB514A"/>
    <w:rsid w:val="00CC1764"/>
    <w:rsid w:val="00CC3BDD"/>
    <w:rsid w:val="00CC52F6"/>
    <w:rsid w:val="00CD0442"/>
    <w:rsid w:val="00CD0936"/>
    <w:rsid w:val="00CD19A0"/>
    <w:rsid w:val="00CD31BA"/>
    <w:rsid w:val="00CE7B25"/>
    <w:rsid w:val="00CF122D"/>
    <w:rsid w:val="00CF1E92"/>
    <w:rsid w:val="00CF3D12"/>
    <w:rsid w:val="00CF55F3"/>
    <w:rsid w:val="00D028C5"/>
    <w:rsid w:val="00D07CF3"/>
    <w:rsid w:val="00D173D6"/>
    <w:rsid w:val="00D239C6"/>
    <w:rsid w:val="00D257E2"/>
    <w:rsid w:val="00D30A7D"/>
    <w:rsid w:val="00D31D08"/>
    <w:rsid w:val="00D32D1B"/>
    <w:rsid w:val="00D37969"/>
    <w:rsid w:val="00D37C6D"/>
    <w:rsid w:val="00D43FAE"/>
    <w:rsid w:val="00D454FE"/>
    <w:rsid w:val="00D4745B"/>
    <w:rsid w:val="00D5075A"/>
    <w:rsid w:val="00D51772"/>
    <w:rsid w:val="00D5210F"/>
    <w:rsid w:val="00D54979"/>
    <w:rsid w:val="00D55513"/>
    <w:rsid w:val="00D55C51"/>
    <w:rsid w:val="00D60FA1"/>
    <w:rsid w:val="00D72ABF"/>
    <w:rsid w:val="00D743E2"/>
    <w:rsid w:val="00D76511"/>
    <w:rsid w:val="00D83DFD"/>
    <w:rsid w:val="00D87C79"/>
    <w:rsid w:val="00D932B7"/>
    <w:rsid w:val="00D96A85"/>
    <w:rsid w:val="00D96DDE"/>
    <w:rsid w:val="00D97494"/>
    <w:rsid w:val="00DA0DD0"/>
    <w:rsid w:val="00DA4BDE"/>
    <w:rsid w:val="00DA7929"/>
    <w:rsid w:val="00DC387D"/>
    <w:rsid w:val="00DC7CE4"/>
    <w:rsid w:val="00DD3470"/>
    <w:rsid w:val="00DD5803"/>
    <w:rsid w:val="00DE4A02"/>
    <w:rsid w:val="00E01642"/>
    <w:rsid w:val="00E10864"/>
    <w:rsid w:val="00E11DEC"/>
    <w:rsid w:val="00E162B9"/>
    <w:rsid w:val="00E33862"/>
    <w:rsid w:val="00E341D3"/>
    <w:rsid w:val="00E360A2"/>
    <w:rsid w:val="00E370D7"/>
    <w:rsid w:val="00E40594"/>
    <w:rsid w:val="00E40F36"/>
    <w:rsid w:val="00E67D81"/>
    <w:rsid w:val="00E71EA4"/>
    <w:rsid w:val="00E72390"/>
    <w:rsid w:val="00E75D10"/>
    <w:rsid w:val="00E814E7"/>
    <w:rsid w:val="00E8162E"/>
    <w:rsid w:val="00E81CBA"/>
    <w:rsid w:val="00E8453F"/>
    <w:rsid w:val="00E92550"/>
    <w:rsid w:val="00E92607"/>
    <w:rsid w:val="00E93F12"/>
    <w:rsid w:val="00EA6D17"/>
    <w:rsid w:val="00EB098F"/>
    <w:rsid w:val="00EB4098"/>
    <w:rsid w:val="00EB705C"/>
    <w:rsid w:val="00EC51CE"/>
    <w:rsid w:val="00EC5BE5"/>
    <w:rsid w:val="00ED0321"/>
    <w:rsid w:val="00ED49F5"/>
    <w:rsid w:val="00ED5BC0"/>
    <w:rsid w:val="00ED6A3D"/>
    <w:rsid w:val="00ED7117"/>
    <w:rsid w:val="00EF093C"/>
    <w:rsid w:val="00EF7D2B"/>
    <w:rsid w:val="00EF7D77"/>
    <w:rsid w:val="00F018F4"/>
    <w:rsid w:val="00F0242B"/>
    <w:rsid w:val="00F1012D"/>
    <w:rsid w:val="00F101BD"/>
    <w:rsid w:val="00F10B56"/>
    <w:rsid w:val="00F126F9"/>
    <w:rsid w:val="00F12D8F"/>
    <w:rsid w:val="00F14F6A"/>
    <w:rsid w:val="00F17063"/>
    <w:rsid w:val="00F34F24"/>
    <w:rsid w:val="00F35A6D"/>
    <w:rsid w:val="00F35FB5"/>
    <w:rsid w:val="00F44D74"/>
    <w:rsid w:val="00F5798B"/>
    <w:rsid w:val="00F57C2D"/>
    <w:rsid w:val="00F66D14"/>
    <w:rsid w:val="00F673F6"/>
    <w:rsid w:val="00F674F2"/>
    <w:rsid w:val="00F7169E"/>
    <w:rsid w:val="00F74352"/>
    <w:rsid w:val="00F75592"/>
    <w:rsid w:val="00F81229"/>
    <w:rsid w:val="00F85759"/>
    <w:rsid w:val="00F92A1E"/>
    <w:rsid w:val="00F93A44"/>
    <w:rsid w:val="00F96712"/>
    <w:rsid w:val="00F975A6"/>
    <w:rsid w:val="00FA566A"/>
    <w:rsid w:val="00FA5702"/>
    <w:rsid w:val="00FA5E1E"/>
    <w:rsid w:val="00FB42CF"/>
    <w:rsid w:val="00FB4411"/>
    <w:rsid w:val="00FC0078"/>
    <w:rsid w:val="00FC0143"/>
    <w:rsid w:val="00FC0EC2"/>
    <w:rsid w:val="00FC4DE8"/>
    <w:rsid w:val="00FC4E0D"/>
    <w:rsid w:val="00FC54EA"/>
    <w:rsid w:val="00FC5672"/>
    <w:rsid w:val="00FC596D"/>
    <w:rsid w:val="00FD0BEA"/>
    <w:rsid w:val="00FD692E"/>
    <w:rsid w:val="00FE01E6"/>
    <w:rsid w:val="00FF1532"/>
    <w:rsid w:val="00FF49BA"/>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c9">
      <v:fill color="#fc9"/>
      <v:textbox inset="5.85pt,.7pt,5.85pt,.7pt"/>
    </o:shapedefaults>
    <o:shapelayout v:ext="edit">
      <o:idmap v:ext="edit" data="1"/>
    </o:shapelayout>
  </w:shapeDefaults>
  <w:decimalSymbol w:val="."/>
  <w:listSeparator w:val=","/>
  <w14:docId w14:val="5CA8761B"/>
  <w15:docId w15:val="{3FFA2C4A-D5D3-48A2-B448-F234862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8"/>
      <w:szCs w:val="28"/>
    </w:rPr>
  </w:style>
  <w:style w:type="paragraph" w:styleId="Heading1">
    <w:name w:val="heading 1"/>
    <w:basedOn w:val="Normal"/>
    <w:next w:val="Normal"/>
    <w:autoRedefine/>
    <w:qFormat/>
    <w:pPr>
      <w:keepNext/>
      <w:numPr>
        <w:ilvl w:val="1"/>
        <w:numId w:val="1"/>
      </w:numPr>
      <w:outlineLvl w:val="0"/>
    </w:pPr>
    <w:rPr>
      <w:bCs/>
    </w:rPr>
  </w:style>
  <w:style w:type="paragraph" w:styleId="Heading2">
    <w:name w:val="heading 2"/>
    <w:basedOn w:val="Normal"/>
    <w:next w:val="Normal"/>
    <w:autoRedefine/>
    <w:qFormat/>
    <w:pPr>
      <w:keepNext/>
      <w:numPr>
        <w:ilvl w:val="1"/>
        <w:numId w:val="2"/>
      </w:numPr>
      <w:outlineLvl w:val="1"/>
    </w:pPr>
    <w:rPr>
      <w:bCs/>
    </w:rPr>
  </w:style>
  <w:style w:type="paragraph" w:styleId="Heading3">
    <w:name w:val="heading 3"/>
    <w:basedOn w:val="Normal"/>
    <w:next w:val="Normal"/>
    <w:qFormat/>
    <w:pPr>
      <w:keepNext/>
      <w:numPr>
        <w:ilvl w:val="2"/>
        <w:numId w:val="7"/>
      </w:numPr>
      <w:tabs>
        <w:tab w:val="left" w:pos="720"/>
      </w:tabs>
      <w:autoSpaceDE w:val="0"/>
      <w:autoSpaceDN w:val="0"/>
      <w:adjustRightInd w:val="0"/>
      <w:spacing w:line="312" w:lineRule="auto"/>
      <w:ind w:left="0" w:firstLine="720"/>
      <w:jc w:val="both"/>
      <w:outlineLvl w:val="2"/>
    </w:pPr>
    <w:rPr>
      <w:bCs/>
      <w:sz w:val="24"/>
      <w:szCs w:val="40"/>
    </w:rPr>
  </w:style>
  <w:style w:type="paragraph" w:styleId="Heading4">
    <w:name w:val="heading 4"/>
    <w:basedOn w:val="Normal"/>
    <w:next w:val="Normal"/>
    <w:qFormat/>
    <w:pPr>
      <w:keepNext/>
      <w:numPr>
        <w:ilvl w:val="3"/>
        <w:numId w:val="7"/>
      </w:numPr>
      <w:spacing w:before="120"/>
      <w:jc w:val="center"/>
      <w:outlineLvl w:val="3"/>
    </w:pPr>
    <w:rPr>
      <w:rFonts w:ascii=".VnTime" w:eastAsia="MS Mincho" w:hAnsi=".VnTime" w:cs="Times New Roman"/>
      <w:b/>
      <w:sz w:val="24"/>
      <w:szCs w:val="20"/>
    </w:rPr>
  </w:style>
  <w:style w:type="paragraph" w:styleId="Heading5">
    <w:name w:val="heading 5"/>
    <w:basedOn w:val="Normal"/>
    <w:next w:val="Normal"/>
    <w:qFormat/>
    <w:pPr>
      <w:keepNext/>
      <w:numPr>
        <w:ilvl w:val="4"/>
        <w:numId w:val="7"/>
      </w:numPr>
      <w:autoSpaceDE w:val="0"/>
      <w:autoSpaceDN w:val="0"/>
      <w:adjustRightInd w:val="0"/>
      <w:jc w:val="center"/>
      <w:outlineLvl w:val="4"/>
    </w:pPr>
    <w:rPr>
      <w:rFonts w:cs="Times New Roman"/>
      <w:b/>
      <w:bCs/>
      <w:color w:val="FFFFFF"/>
      <w:sz w:val="26"/>
      <w:szCs w:val="40"/>
    </w:rPr>
  </w:style>
  <w:style w:type="paragraph" w:styleId="Heading6">
    <w:name w:val="heading 6"/>
    <w:basedOn w:val="Normal"/>
    <w:next w:val="Normal"/>
    <w:qFormat/>
    <w:pPr>
      <w:keepNext/>
      <w:numPr>
        <w:ilvl w:val="5"/>
        <w:numId w:val="7"/>
      </w:numPr>
      <w:autoSpaceDE w:val="0"/>
      <w:autoSpaceDN w:val="0"/>
      <w:adjustRightInd w:val="0"/>
      <w:outlineLvl w:val="5"/>
    </w:pPr>
    <w:rPr>
      <w:rFonts w:cs="Times New Roman"/>
      <w:color w:val="FF0066"/>
      <w:sz w:val="30"/>
      <w:szCs w:val="4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ilvl w:val="6"/>
        <w:numId w:val="7"/>
      </w:numPr>
      <w:jc w:val="center"/>
      <w:outlineLvl w:val="6"/>
    </w:pPr>
    <w:rPr>
      <w:rFonts w:ascii=".VnTime" w:eastAsia="MS Mincho" w:hAnsi=".VnTime" w:cs="Times New Roman"/>
      <w:b/>
      <w:sz w:val="30"/>
      <w:szCs w:val="20"/>
    </w:rPr>
  </w:style>
  <w:style w:type="paragraph" w:styleId="Heading8">
    <w:name w:val="heading 8"/>
    <w:basedOn w:val="Normal"/>
    <w:next w:val="Normal"/>
    <w:qFormat/>
    <w:pPr>
      <w:keepNext/>
      <w:numPr>
        <w:ilvl w:val="7"/>
        <w:numId w:val="7"/>
      </w:numPr>
      <w:autoSpaceDE w:val="0"/>
      <w:autoSpaceDN w:val="0"/>
      <w:adjustRightInd w:val="0"/>
      <w:jc w:val="right"/>
      <w:outlineLvl w:val="7"/>
    </w:pPr>
    <w:rPr>
      <w:rFonts w:cs="Times New Roman"/>
      <w:b/>
      <w:bCs/>
      <w:color w:val="FFFFFF"/>
      <w:sz w:val="46"/>
      <w:szCs w:val="72"/>
    </w:rPr>
  </w:style>
  <w:style w:type="paragraph" w:styleId="Heading9">
    <w:name w:val="heading 9"/>
    <w:basedOn w:val="Normal"/>
    <w:next w:val="Normal"/>
    <w:qFormat/>
    <w:pPr>
      <w:keepNext/>
      <w:numPr>
        <w:ilvl w:val="8"/>
        <w:numId w:val="7"/>
      </w:numPr>
      <w:autoSpaceDE w:val="0"/>
      <w:autoSpaceDN w:val="0"/>
      <w:adjustRightInd w:val="0"/>
      <w:jc w:val="center"/>
      <w:outlineLvl w:val="8"/>
    </w:pPr>
    <w:rPr>
      <w:rFonts w:ascii="Arial" w:hAnsi="Arial"/>
      <w:b/>
      <w:bCs/>
      <w:color w:val="FFFFFF"/>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
    <w:name w:val="MUC"/>
    <w:basedOn w:val="Normal"/>
    <w:autoRedefine/>
    <w:pPr>
      <w:numPr>
        <w:numId w:val="1"/>
      </w:numPr>
    </w:pPr>
    <w:rPr>
      <w:b/>
    </w:rPr>
  </w:style>
  <w:style w:type="paragraph" w:customStyle="1" w:styleId="1heading2">
    <w:name w:val="1.heading 2"/>
    <w:basedOn w:val="Heading2"/>
    <w:autoRedefine/>
    <w:pPr>
      <w:numPr>
        <w:numId w:val="3"/>
      </w:numPr>
    </w:pPr>
  </w:style>
  <w:style w:type="paragraph" w:styleId="BodyText2">
    <w:name w:val="Body Text 2"/>
    <w:basedOn w:val="Normal"/>
    <w:pPr>
      <w:spacing w:before="120" w:after="120" w:line="288" w:lineRule="auto"/>
      <w:jc w:val="both"/>
    </w:pPr>
    <w:rPr>
      <w:sz w:val="24"/>
      <w:szCs w:val="24"/>
    </w:rPr>
  </w:style>
  <w:style w:type="paragraph" w:styleId="BodyText">
    <w:name w:val="Body Text"/>
    <w:basedOn w:val="Normal"/>
    <w:rPr>
      <w:rFonts w:ascii=".VnTimeH" w:hAnsi=".VnTimeH"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bCs/>
    </w:rPr>
  </w:style>
  <w:style w:type="paragraph" w:styleId="BodyText3">
    <w:name w:val="Body Text 3"/>
    <w:basedOn w:val="Normal"/>
    <w:pPr>
      <w:jc w:val="center"/>
    </w:pPr>
    <w:rPr>
      <w:b/>
      <w:bCs/>
      <w:sz w:val="22"/>
    </w:rPr>
  </w:style>
  <w:style w:type="table" w:styleId="TableGrid">
    <w:name w:val="Table Grid"/>
    <w:basedOn w:val="TableNormal"/>
    <w:uiPriority w:val="39"/>
    <w:rsid w:val="001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7A3"/>
    <w:pPr>
      <w:spacing w:after="120"/>
      <w:ind w:left="360"/>
    </w:pPr>
    <w:rPr>
      <w:rFonts w:cs="Times New Roman"/>
      <w:lang w:val="x-none" w:eastAsia="x-none"/>
    </w:rPr>
  </w:style>
  <w:style w:type="character" w:customStyle="1" w:styleId="BodyTextIndentChar">
    <w:name w:val="Body Text Indent Char"/>
    <w:link w:val="BodyTextIndent"/>
    <w:rsid w:val="009017A3"/>
    <w:rPr>
      <w:rFonts w:cs="Arial"/>
      <w:sz w:val="28"/>
      <w:szCs w:val="28"/>
    </w:rPr>
  </w:style>
  <w:style w:type="paragraph" w:styleId="ListParagraph">
    <w:name w:val="List Paragraph"/>
    <w:basedOn w:val="Normal"/>
    <w:uiPriority w:val="1"/>
    <w:qFormat/>
    <w:rsid w:val="00EB4098"/>
    <w:pPr>
      <w:ind w:left="720"/>
      <w:contextualSpacing/>
    </w:pPr>
  </w:style>
  <w:style w:type="character" w:customStyle="1" w:styleId="FooterChar">
    <w:name w:val="Footer Char"/>
    <w:link w:val="Footer"/>
    <w:uiPriority w:val="99"/>
    <w:rsid w:val="009A61D9"/>
    <w:rPr>
      <w:rFonts w:cs="Arial"/>
      <w:sz w:val="28"/>
      <w:szCs w:val="28"/>
      <w:lang w:eastAsia="en-US"/>
    </w:rPr>
  </w:style>
  <w:style w:type="character" w:styleId="PageNumber">
    <w:name w:val="page number"/>
    <w:rsid w:val="004359CD"/>
  </w:style>
  <w:style w:type="paragraph" w:styleId="NormalWeb">
    <w:name w:val="Normal (Web)"/>
    <w:basedOn w:val="Normal"/>
    <w:uiPriority w:val="99"/>
    <w:unhideWhenUsed/>
    <w:rsid w:val="003E04E2"/>
    <w:pPr>
      <w:spacing w:before="100" w:beforeAutospacing="1" w:after="100" w:afterAutospacing="1"/>
    </w:pPr>
    <w:rPr>
      <w:rFonts w:eastAsia="SimSun" w:cs="Times New Roman"/>
      <w:sz w:val="24"/>
      <w:szCs w:val="24"/>
      <w:lang w:eastAsia="zh-CN"/>
    </w:rPr>
  </w:style>
  <w:style w:type="character" w:customStyle="1" w:styleId="HeaderChar">
    <w:name w:val="Header Char"/>
    <w:basedOn w:val="DefaultParagraphFont"/>
    <w:link w:val="Header"/>
    <w:uiPriority w:val="99"/>
    <w:rsid w:val="00674D1D"/>
    <w:rPr>
      <w:rFonts w:cs="Arial"/>
      <w:sz w:val="28"/>
      <w:szCs w:val="28"/>
    </w:rPr>
  </w:style>
  <w:style w:type="character" w:customStyle="1" w:styleId="eop">
    <w:name w:val="eop"/>
    <w:basedOn w:val="DefaultParagraphFont"/>
    <w:rsid w:val="0092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683">
      <w:bodyDiv w:val="1"/>
      <w:marLeft w:val="0"/>
      <w:marRight w:val="0"/>
      <w:marTop w:val="0"/>
      <w:marBottom w:val="0"/>
      <w:divBdr>
        <w:top w:val="none" w:sz="0" w:space="0" w:color="auto"/>
        <w:left w:val="none" w:sz="0" w:space="0" w:color="auto"/>
        <w:bottom w:val="none" w:sz="0" w:space="0" w:color="auto"/>
        <w:right w:val="none" w:sz="0" w:space="0" w:color="auto"/>
      </w:divBdr>
    </w:div>
    <w:div w:id="658702514">
      <w:bodyDiv w:val="1"/>
      <w:marLeft w:val="0"/>
      <w:marRight w:val="0"/>
      <w:marTop w:val="0"/>
      <w:marBottom w:val="0"/>
      <w:divBdr>
        <w:top w:val="none" w:sz="0" w:space="0" w:color="auto"/>
        <w:left w:val="none" w:sz="0" w:space="0" w:color="auto"/>
        <w:bottom w:val="none" w:sz="0" w:space="0" w:color="auto"/>
        <w:right w:val="none" w:sz="0" w:space="0" w:color="auto"/>
      </w:divBdr>
    </w:div>
    <w:div w:id="883753798">
      <w:bodyDiv w:val="1"/>
      <w:marLeft w:val="0"/>
      <w:marRight w:val="0"/>
      <w:marTop w:val="0"/>
      <w:marBottom w:val="0"/>
      <w:divBdr>
        <w:top w:val="none" w:sz="0" w:space="0" w:color="auto"/>
        <w:left w:val="none" w:sz="0" w:space="0" w:color="auto"/>
        <w:bottom w:val="none" w:sz="0" w:space="0" w:color="auto"/>
        <w:right w:val="none" w:sz="0" w:space="0" w:color="auto"/>
      </w:divBdr>
    </w:div>
    <w:div w:id="1044328079">
      <w:bodyDiv w:val="1"/>
      <w:marLeft w:val="0"/>
      <w:marRight w:val="0"/>
      <w:marTop w:val="0"/>
      <w:marBottom w:val="0"/>
      <w:divBdr>
        <w:top w:val="none" w:sz="0" w:space="0" w:color="auto"/>
        <w:left w:val="none" w:sz="0" w:space="0" w:color="auto"/>
        <w:bottom w:val="none" w:sz="0" w:space="0" w:color="auto"/>
        <w:right w:val="none" w:sz="0" w:space="0" w:color="auto"/>
      </w:divBdr>
    </w:div>
    <w:div w:id="1472208609">
      <w:bodyDiv w:val="1"/>
      <w:marLeft w:val="0"/>
      <w:marRight w:val="0"/>
      <w:marTop w:val="0"/>
      <w:marBottom w:val="0"/>
      <w:divBdr>
        <w:top w:val="none" w:sz="0" w:space="0" w:color="auto"/>
        <w:left w:val="none" w:sz="0" w:space="0" w:color="auto"/>
        <w:bottom w:val="none" w:sz="0" w:space="0" w:color="auto"/>
        <w:right w:val="none" w:sz="0" w:space="0" w:color="auto"/>
      </w:divBdr>
    </w:div>
    <w:div w:id="2042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5A8A1-4241-442F-9534-579378F71F5F}">
  <ds:schemaRefs>
    <ds:schemaRef ds:uri="http://schemas.microsoft.com/sharepoint/v3/contenttype/forms"/>
  </ds:schemaRefs>
</ds:datastoreItem>
</file>

<file path=customXml/itemProps2.xml><?xml version="1.0" encoding="utf-8"?>
<ds:datastoreItem xmlns:ds="http://schemas.openxmlformats.org/officeDocument/2006/customXml" ds:itemID="{D3A3AD8F-DE0D-4F68-9A6E-5A3608355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8A41-4E7E-429B-B4B8-DF6CDA7D1E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7</Pages>
  <Words>2221</Words>
  <Characters>7970</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CÔNG TY CỔ PHẦN HỖ TRỢ</vt:lpstr>
    </vt:vector>
  </TitlesOfParts>
  <Company>fsahfs</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HỖ TRỢ</dc:title>
  <dc:creator>lannk</dc:creator>
  <cp:lastModifiedBy>Nguyen Minh Duc</cp:lastModifiedBy>
  <cp:revision>85</cp:revision>
  <cp:lastPrinted>2017-04-17T03:50:00Z</cp:lastPrinted>
  <dcterms:created xsi:type="dcterms:W3CDTF">2019-06-25T09:17:00Z</dcterms:created>
  <dcterms:modified xsi:type="dcterms:W3CDTF">2021-09-21T08:58:00Z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